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7AF53" w14:textId="704FC4E8" w:rsidR="00AB5853" w:rsidRPr="00460863" w:rsidRDefault="00DE39E5" w:rsidP="001E6B4A">
      <w:pPr>
        <w:pStyle w:val="Heading1"/>
        <w:rPr>
          <w:rFonts w:asciiTheme="minorHAnsi" w:hAnsiTheme="minorHAnsi" w:cstheme="minorHAnsi"/>
          <w:sz w:val="22"/>
          <w:szCs w:val="22"/>
        </w:rPr>
      </w:pPr>
      <w:r>
        <w:rPr>
          <w:rFonts w:asciiTheme="minorHAnsi" w:hAnsiTheme="minorHAnsi" w:cstheme="minorHAnsi"/>
          <w:sz w:val="22"/>
          <w:szCs w:val="22"/>
        </w:rPr>
        <w:t>File S1</w:t>
      </w:r>
      <w:r w:rsidR="00460863">
        <w:rPr>
          <w:rFonts w:asciiTheme="minorHAnsi" w:hAnsiTheme="minorHAnsi" w:cstheme="minorHAnsi"/>
          <w:sz w:val="22"/>
          <w:szCs w:val="22"/>
        </w:rPr>
        <w:t xml:space="preserve">. </w:t>
      </w:r>
      <w:proofErr w:type="spellStart"/>
      <w:r w:rsidR="00BC2160">
        <w:rPr>
          <w:rFonts w:asciiTheme="minorHAnsi" w:hAnsiTheme="minorHAnsi" w:cstheme="minorHAnsi"/>
          <w:sz w:val="22"/>
          <w:szCs w:val="22"/>
        </w:rPr>
        <w:t>SilicoDArT</w:t>
      </w:r>
      <w:proofErr w:type="spellEnd"/>
      <w:r w:rsidR="00BC2160">
        <w:rPr>
          <w:rFonts w:asciiTheme="minorHAnsi" w:hAnsiTheme="minorHAnsi" w:cstheme="minorHAnsi"/>
          <w:sz w:val="22"/>
          <w:szCs w:val="22"/>
        </w:rPr>
        <w:t xml:space="preserve"> analyses</w:t>
      </w:r>
    </w:p>
    <w:p w14:paraId="649DC0D1" w14:textId="77777777" w:rsidR="001E6B4A" w:rsidRPr="00460863" w:rsidRDefault="001E6B4A">
      <w:pPr>
        <w:rPr>
          <w:rFonts w:cstheme="minorHAnsi"/>
        </w:rPr>
      </w:pPr>
      <w:bookmarkStart w:id="0" w:name="_GoBack"/>
      <w:bookmarkEnd w:id="0"/>
    </w:p>
    <w:p w14:paraId="5A9FA89E" w14:textId="46BCD2B6" w:rsidR="00460863" w:rsidRDefault="000135A5" w:rsidP="00460863">
      <w:pPr>
        <w:rPr>
          <w:rFonts w:cstheme="minorHAnsi"/>
        </w:rPr>
      </w:pPr>
      <w:r w:rsidRPr="00460863">
        <w:rPr>
          <w:rFonts w:cstheme="minorHAnsi"/>
        </w:rPr>
        <w:t>Data analysis and quality control method was similar to that perf</w:t>
      </w:r>
      <w:r w:rsidR="00782CEB">
        <w:rPr>
          <w:rFonts w:cstheme="minorHAnsi"/>
        </w:rPr>
        <w:t xml:space="preserve">ormed with the </w:t>
      </w:r>
      <w:proofErr w:type="spellStart"/>
      <w:r w:rsidR="00782CEB">
        <w:rPr>
          <w:rFonts w:cstheme="minorHAnsi"/>
        </w:rPr>
        <w:t>DArTSeq</w:t>
      </w:r>
      <w:proofErr w:type="spellEnd"/>
      <w:r w:rsidR="00782CEB">
        <w:rPr>
          <w:rFonts w:cstheme="minorHAnsi"/>
        </w:rPr>
        <w:t xml:space="preserve"> SNP data</w:t>
      </w:r>
      <w:r w:rsidR="00C04925">
        <w:rPr>
          <w:rFonts w:cstheme="minorHAnsi"/>
        </w:rPr>
        <w:t>, with markers retained with a minimum reproducibility score</w:t>
      </w:r>
      <w:r w:rsidR="00C04925" w:rsidRPr="00460863">
        <w:rPr>
          <w:rFonts w:cstheme="minorHAnsi"/>
        </w:rPr>
        <w:t xml:space="preserve"> of one and </w:t>
      </w:r>
      <w:r w:rsidR="00C04925">
        <w:rPr>
          <w:rFonts w:cstheme="minorHAnsi"/>
        </w:rPr>
        <w:t xml:space="preserve">removing </w:t>
      </w:r>
      <w:r w:rsidR="00C04925" w:rsidRPr="00460863">
        <w:rPr>
          <w:rFonts w:cstheme="minorHAnsi"/>
        </w:rPr>
        <w:t>marker</w:t>
      </w:r>
      <w:r w:rsidR="00C04925">
        <w:rPr>
          <w:rFonts w:cstheme="minorHAnsi"/>
        </w:rPr>
        <w:t>s with</w:t>
      </w:r>
      <w:r w:rsidR="00C04925" w:rsidRPr="00460863">
        <w:rPr>
          <w:rFonts w:cstheme="minorHAnsi"/>
        </w:rPr>
        <w:t xml:space="preserve"> </w:t>
      </w:r>
      <w:r w:rsidR="00C04925">
        <w:rPr>
          <w:rFonts w:cstheme="minorHAnsi"/>
        </w:rPr>
        <w:t>&gt;</w:t>
      </w:r>
      <w:r w:rsidR="00C04925" w:rsidRPr="00460863">
        <w:rPr>
          <w:rFonts w:cstheme="minorHAnsi"/>
        </w:rPr>
        <w:t>5%</w:t>
      </w:r>
      <w:r w:rsidR="00C04925">
        <w:rPr>
          <w:rFonts w:cstheme="minorHAnsi"/>
        </w:rPr>
        <w:t xml:space="preserve"> </w:t>
      </w:r>
      <w:r w:rsidR="00C04925" w:rsidRPr="00460863">
        <w:rPr>
          <w:rFonts w:cstheme="minorHAnsi"/>
        </w:rPr>
        <w:t>missi</w:t>
      </w:r>
      <w:r w:rsidR="00C04925">
        <w:rPr>
          <w:rFonts w:cstheme="minorHAnsi"/>
        </w:rPr>
        <w:t xml:space="preserve">ng data. Following filtering, </w:t>
      </w:r>
      <w:r w:rsidR="00460863">
        <w:rPr>
          <w:rFonts w:cstheme="minorHAnsi"/>
        </w:rPr>
        <w:t>1097 markers remained</w:t>
      </w:r>
      <w:r w:rsidR="00C04925">
        <w:rPr>
          <w:rFonts w:cstheme="minorHAnsi"/>
        </w:rPr>
        <w:t xml:space="preserve"> from 6321</w:t>
      </w:r>
      <w:r w:rsidR="00460863">
        <w:rPr>
          <w:rFonts w:cstheme="minorHAnsi"/>
        </w:rPr>
        <w:t>.</w:t>
      </w:r>
    </w:p>
    <w:p w14:paraId="3A1495C2" w14:textId="03D72BB5" w:rsidR="00460863" w:rsidRDefault="00460863" w:rsidP="00460863">
      <w:pPr>
        <w:rPr>
          <w:rFonts w:cstheme="minorHAnsi"/>
        </w:rPr>
      </w:pPr>
      <w:r>
        <w:rPr>
          <w:rFonts w:cstheme="minorHAnsi"/>
        </w:rPr>
        <w:t xml:space="preserve">The same isolates used in the </w:t>
      </w:r>
      <w:proofErr w:type="spellStart"/>
      <w:r w:rsidR="00AA7E76">
        <w:rPr>
          <w:rFonts w:cstheme="minorHAnsi"/>
        </w:rPr>
        <w:t>DArTseq</w:t>
      </w:r>
      <w:proofErr w:type="spellEnd"/>
      <w:r w:rsidR="00AA7E76">
        <w:rPr>
          <w:rFonts w:cstheme="minorHAnsi"/>
        </w:rPr>
        <w:t xml:space="preserve"> </w:t>
      </w:r>
      <w:r w:rsidR="007229A6">
        <w:rPr>
          <w:rFonts w:cstheme="minorHAnsi"/>
        </w:rPr>
        <w:t xml:space="preserve">SNP analysis were used in the </w:t>
      </w:r>
      <w:proofErr w:type="spellStart"/>
      <w:r w:rsidR="007229A6">
        <w:rPr>
          <w:rFonts w:cstheme="minorHAnsi"/>
        </w:rPr>
        <w:t>sillicoDArT</w:t>
      </w:r>
      <w:proofErr w:type="spellEnd"/>
      <w:r w:rsidR="007229A6">
        <w:rPr>
          <w:rFonts w:cstheme="minorHAnsi"/>
        </w:rPr>
        <w:t xml:space="preserve"> study. </w:t>
      </w:r>
      <w:r w:rsidR="00AA7E76">
        <w:rPr>
          <w:rFonts w:cstheme="minorHAnsi"/>
        </w:rPr>
        <w:t>Two hundred and fifty-one</w:t>
      </w:r>
      <w:r w:rsidR="007229A6">
        <w:rPr>
          <w:rFonts w:cstheme="minorHAnsi"/>
        </w:rPr>
        <w:t xml:space="preserve"> isolates</w:t>
      </w:r>
      <w:r w:rsidR="00AA7E76">
        <w:rPr>
          <w:rFonts w:cstheme="minorHAnsi"/>
        </w:rPr>
        <w:t xml:space="preserve"> </w:t>
      </w:r>
      <w:r w:rsidR="007229A6">
        <w:rPr>
          <w:rFonts w:cstheme="minorHAnsi"/>
        </w:rPr>
        <w:t>were classified into 239 MLGs</w:t>
      </w:r>
      <w:r w:rsidR="00AA7E76">
        <w:rPr>
          <w:rFonts w:cstheme="minorHAnsi"/>
        </w:rPr>
        <w:t xml:space="preserve"> as with the </w:t>
      </w:r>
      <w:proofErr w:type="spellStart"/>
      <w:r w:rsidR="00AA7E76">
        <w:rPr>
          <w:rFonts w:cstheme="minorHAnsi"/>
        </w:rPr>
        <w:t>DArTseq</w:t>
      </w:r>
      <w:proofErr w:type="spellEnd"/>
      <w:r w:rsidR="00AA7E76">
        <w:rPr>
          <w:rFonts w:cstheme="minorHAnsi"/>
        </w:rPr>
        <w:t xml:space="preserve"> SNP markers.</w:t>
      </w:r>
      <w:r w:rsidR="007229A6">
        <w:rPr>
          <w:rFonts w:cstheme="minorHAnsi"/>
        </w:rPr>
        <w:t xml:space="preserve"> </w:t>
      </w:r>
      <w:r w:rsidR="00AA7E76">
        <w:rPr>
          <w:rFonts w:cstheme="minorHAnsi"/>
        </w:rPr>
        <w:t>A</w:t>
      </w:r>
      <w:r w:rsidR="007229A6">
        <w:rPr>
          <w:rFonts w:cstheme="minorHAnsi"/>
        </w:rPr>
        <w:t xml:space="preserve">ll MLGs were found </w:t>
      </w:r>
      <w:r w:rsidR="007066B4">
        <w:rPr>
          <w:rFonts w:cstheme="minorHAnsi"/>
        </w:rPr>
        <w:t>unique</w:t>
      </w:r>
      <w:r w:rsidR="007229A6">
        <w:rPr>
          <w:rFonts w:cstheme="minorHAnsi"/>
        </w:rPr>
        <w:t xml:space="preserve"> to a single state and only WA was found to consist of isolates sharing an MLG (Supplementary </w:t>
      </w:r>
      <w:r w:rsidR="00EC221E">
        <w:rPr>
          <w:rFonts w:cstheme="minorHAnsi"/>
        </w:rPr>
        <w:t>analysis table 1</w:t>
      </w:r>
      <w:r w:rsidR="007229A6">
        <w:rPr>
          <w:rFonts w:cstheme="minorHAnsi"/>
        </w:rPr>
        <w:t xml:space="preserve">.1). </w:t>
      </w:r>
      <w:r w:rsidR="007229A6">
        <w:t xml:space="preserve">The </w:t>
      </w:r>
      <w:proofErr w:type="spellStart"/>
      <w:r w:rsidR="00AA7E76">
        <w:rPr>
          <w:rFonts w:cstheme="minorHAnsi"/>
        </w:rPr>
        <w:t>sillicoDArT</w:t>
      </w:r>
      <w:proofErr w:type="spellEnd"/>
      <w:r w:rsidR="00AA7E76">
        <w:rPr>
          <w:rFonts w:cstheme="minorHAnsi"/>
        </w:rPr>
        <w:t xml:space="preserve"> </w:t>
      </w:r>
      <w:r w:rsidR="007229A6">
        <w:t xml:space="preserve">analysis also supported the </w:t>
      </w:r>
      <w:proofErr w:type="spellStart"/>
      <w:r w:rsidR="00AA7E76">
        <w:rPr>
          <w:rFonts w:cstheme="minorHAnsi"/>
        </w:rPr>
        <w:t>DArTseq</w:t>
      </w:r>
      <w:proofErr w:type="spellEnd"/>
      <w:r w:rsidR="00AA7E76">
        <w:rPr>
          <w:rFonts w:cstheme="minorHAnsi"/>
        </w:rPr>
        <w:t xml:space="preserve"> SNP </w:t>
      </w:r>
      <w:r w:rsidR="007229A6">
        <w:t xml:space="preserve">genetic diversity tests and revealed most of the genetic variation (~98%) occurred within regions whereas variation between regions was low (~1.4%), with variations between fields contributing least to genetic variation (~0.6%). The </w:t>
      </w:r>
      <w:proofErr w:type="spellStart"/>
      <w:r w:rsidR="007229A6">
        <w:t>silicoDArT</w:t>
      </w:r>
      <w:proofErr w:type="spellEnd"/>
      <w:r w:rsidR="007229A6">
        <w:t xml:space="preserve"> mark</w:t>
      </w:r>
      <w:r w:rsidR="007066B4">
        <w:t>ers also suggested high genotypic</w:t>
      </w:r>
      <w:r w:rsidR="007229A6">
        <w:t xml:space="preserve"> diversity </w:t>
      </w:r>
      <w:r w:rsidR="007229A6" w:rsidRPr="008C07B9">
        <w:t xml:space="preserve">but </w:t>
      </w:r>
      <w:r w:rsidR="007066B4" w:rsidRPr="008C07B9">
        <w:t xml:space="preserve">overall </w:t>
      </w:r>
      <w:r w:rsidR="007066B4">
        <w:t>isolates were closely related</w:t>
      </w:r>
      <w:r w:rsidR="007229A6">
        <w:t>, support</w:t>
      </w:r>
      <w:r w:rsidR="00AA7E76">
        <w:t xml:space="preserve">ing the </w:t>
      </w:r>
      <w:proofErr w:type="spellStart"/>
      <w:r w:rsidR="00AA7E76">
        <w:t>DArTSeq</w:t>
      </w:r>
      <w:proofErr w:type="spellEnd"/>
      <w:r w:rsidR="00AA7E76">
        <w:t xml:space="preserve"> SNP marker data</w:t>
      </w:r>
      <w:r w:rsidR="007229A6">
        <w:t>.</w:t>
      </w:r>
    </w:p>
    <w:p w14:paraId="42C1FD95" w14:textId="4851CEE1" w:rsidR="00EC221E" w:rsidRDefault="00E7157F" w:rsidP="00EC221E">
      <w:pPr>
        <w:pStyle w:val="NoSpacing"/>
      </w:pPr>
      <w:r>
        <w:rPr>
          <w:b/>
        </w:rPr>
        <w:t>Supplementary analysis T</w:t>
      </w:r>
      <w:r w:rsidR="00EC221E">
        <w:rPr>
          <w:b/>
        </w:rPr>
        <w:t>able 1</w:t>
      </w:r>
      <w:r w:rsidR="007229A6" w:rsidRPr="00A106E6">
        <w:rPr>
          <w:b/>
        </w:rPr>
        <w:t>.</w:t>
      </w:r>
      <w:r w:rsidR="007229A6">
        <w:t xml:space="preserve"> </w:t>
      </w:r>
      <w:r w:rsidR="007229A6">
        <w:rPr>
          <w:b/>
        </w:rPr>
        <w:t xml:space="preserve">Genetic diversity of 251 </w:t>
      </w:r>
      <w:proofErr w:type="spellStart"/>
      <w:r w:rsidR="007229A6" w:rsidRPr="00165EAD">
        <w:rPr>
          <w:b/>
          <w:i/>
        </w:rPr>
        <w:t>Ptm</w:t>
      </w:r>
      <w:proofErr w:type="spellEnd"/>
      <w:r w:rsidR="007229A6">
        <w:rPr>
          <w:b/>
        </w:rPr>
        <w:t xml:space="preserve"> isolates collected </w:t>
      </w:r>
      <w:r w:rsidR="00705D72">
        <w:rPr>
          <w:b/>
        </w:rPr>
        <w:t xml:space="preserve">from </w:t>
      </w:r>
      <w:r w:rsidR="007229A6">
        <w:rPr>
          <w:b/>
        </w:rPr>
        <w:t>across Australia</w:t>
      </w:r>
      <w:r w:rsidR="00705D72">
        <w:rPr>
          <w:b/>
        </w:rPr>
        <w:t xml:space="preserve"> based on </w:t>
      </w:r>
      <w:proofErr w:type="spellStart"/>
      <w:r w:rsidR="00705D72" w:rsidRPr="00705D72">
        <w:rPr>
          <w:b/>
        </w:rPr>
        <w:t>sillicoDArT</w:t>
      </w:r>
      <w:proofErr w:type="spellEnd"/>
      <w:r w:rsidR="00705D72" w:rsidRPr="00705D72">
        <w:rPr>
          <w:b/>
        </w:rPr>
        <w:t xml:space="preserve"> markers</w:t>
      </w:r>
      <w:r w:rsidR="007229A6" w:rsidRPr="00705D72">
        <w:rPr>
          <w:b/>
        </w:rPr>
        <w:t>.</w:t>
      </w:r>
      <w:r w:rsidR="00EC221E">
        <w:rPr>
          <w:b/>
        </w:rPr>
        <w:t xml:space="preserve"> </w:t>
      </w:r>
      <w:r w:rsidR="00EC221E" w:rsidRPr="009B3DCB">
        <w:t xml:space="preserve">Summary statistics </w:t>
      </w:r>
      <w:r w:rsidR="00705D72">
        <w:t xml:space="preserve">were </w:t>
      </w:r>
      <w:r w:rsidR="00EC221E" w:rsidRPr="009B3DCB">
        <w:t xml:space="preserve">produced with </w:t>
      </w:r>
      <w:r w:rsidRPr="00A106E6">
        <w:t xml:space="preserve">the </w:t>
      </w:r>
      <w:proofErr w:type="spellStart"/>
      <w:r w:rsidRPr="00A106E6">
        <w:t>poppr</w:t>
      </w:r>
      <w:proofErr w:type="spellEnd"/>
      <w:r w:rsidRPr="00A106E6">
        <w:t xml:space="preserve"> command </w:t>
      </w:r>
      <w:r>
        <w:t>in</w:t>
      </w:r>
      <w:r w:rsidR="00EC221E" w:rsidRPr="009B3DCB">
        <w:t xml:space="preserve"> </w:t>
      </w:r>
      <w:proofErr w:type="spellStart"/>
      <w:r w:rsidR="00EC221E" w:rsidRPr="009B3DCB">
        <w:t>poppr</w:t>
      </w:r>
      <w:proofErr w:type="spellEnd"/>
      <w:r w:rsidR="00EC221E" w:rsidRPr="009B3DCB">
        <w:t xml:space="preserve"> package in </w:t>
      </w:r>
      <w:proofErr w:type="spellStart"/>
      <w:r w:rsidR="00EC221E" w:rsidRPr="009B3DCB">
        <w:t>RStudio</w:t>
      </w:r>
      <w:proofErr w:type="spellEnd"/>
      <w:r w:rsidR="00EC221E">
        <w:t xml:space="preserve"> (</w:t>
      </w:r>
      <w:proofErr w:type="spellStart"/>
      <w:r w:rsidR="00EC221E" w:rsidRPr="00892F89">
        <w:t>RStudio</w:t>
      </w:r>
      <w:proofErr w:type="spellEnd"/>
      <w:r w:rsidR="00EC221E" w:rsidRPr="00892F89">
        <w:t>, Boston, Massachusetts, USA</w:t>
      </w:r>
      <w:r w:rsidR="00705D72">
        <w:t>)</w:t>
      </w:r>
      <w:r w:rsidR="00EC221E">
        <w:t>.</w:t>
      </w:r>
    </w:p>
    <w:p w14:paraId="057A71D9" w14:textId="77777777" w:rsidR="00B3409F" w:rsidRDefault="00B3409F" w:rsidP="00EC221E">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1145"/>
        <w:gridCol w:w="1145"/>
        <w:gridCol w:w="1144"/>
        <w:gridCol w:w="1144"/>
        <w:gridCol w:w="1144"/>
        <w:gridCol w:w="1139"/>
      </w:tblGrid>
      <w:tr w:rsidR="008C07B9" w:rsidRPr="00460863" w14:paraId="2C6D2ECE" w14:textId="77777777" w:rsidTr="00B3409F">
        <w:trPr>
          <w:trHeight w:val="290"/>
        </w:trPr>
        <w:tc>
          <w:tcPr>
            <w:tcW w:w="1199" w:type="pct"/>
            <w:tcBorders>
              <w:top w:val="single" w:sz="4" w:space="0" w:color="auto"/>
              <w:bottom w:val="single" w:sz="4" w:space="0" w:color="auto"/>
            </w:tcBorders>
            <w:noWrap/>
            <w:hideMark/>
          </w:tcPr>
          <w:p w14:paraId="6533B1C0" w14:textId="77777777" w:rsidR="008C07B9" w:rsidRPr="004A6FB0" w:rsidRDefault="008C07B9" w:rsidP="00B3409F">
            <w:pPr>
              <w:rPr>
                <w:rFonts w:eastAsia="Times New Roman" w:cstheme="minorHAnsi"/>
                <w:b/>
                <w:color w:val="000000"/>
                <w:lang w:eastAsia="en-AU"/>
              </w:rPr>
            </w:pPr>
            <w:r w:rsidRPr="004A6FB0">
              <w:rPr>
                <w:rFonts w:eastAsia="Times New Roman" w:cstheme="minorHAnsi"/>
                <w:b/>
                <w:color w:val="000000"/>
                <w:lang w:eastAsia="en-AU"/>
              </w:rPr>
              <w:t>Region</w:t>
            </w:r>
          </w:p>
        </w:tc>
        <w:tc>
          <w:tcPr>
            <w:tcW w:w="634" w:type="pct"/>
            <w:tcBorders>
              <w:top w:val="single" w:sz="4" w:space="0" w:color="auto"/>
              <w:bottom w:val="single" w:sz="4" w:space="0" w:color="auto"/>
            </w:tcBorders>
            <w:noWrap/>
            <w:hideMark/>
          </w:tcPr>
          <w:p w14:paraId="0B370BC3" w14:textId="77777777" w:rsidR="008C07B9" w:rsidRPr="004A6FB0" w:rsidRDefault="008C07B9" w:rsidP="00B3409F">
            <w:pPr>
              <w:rPr>
                <w:rFonts w:eastAsia="Times New Roman" w:cstheme="minorHAnsi"/>
                <w:b/>
                <w:i/>
                <w:color w:val="000000"/>
                <w:lang w:eastAsia="en-AU"/>
              </w:rPr>
            </w:pPr>
            <w:r w:rsidRPr="004A6FB0">
              <w:rPr>
                <w:rFonts w:eastAsia="Times New Roman" w:cstheme="minorHAnsi"/>
                <w:b/>
                <w:i/>
                <w:color w:val="000000"/>
                <w:lang w:eastAsia="en-AU"/>
              </w:rPr>
              <w:t>n</w:t>
            </w:r>
          </w:p>
        </w:tc>
        <w:tc>
          <w:tcPr>
            <w:tcW w:w="634" w:type="pct"/>
            <w:tcBorders>
              <w:top w:val="single" w:sz="4" w:space="0" w:color="auto"/>
              <w:bottom w:val="single" w:sz="4" w:space="0" w:color="auto"/>
            </w:tcBorders>
            <w:noWrap/>
            <w:hideMark/>
          </w:tcPr>
          <w:p w14:paraId="59CAF8BA" w14:textId="77777777" w:rsidR="008C07B9" w:rsidRPr="004A6FB0" w:rsidRDefault="008C07B9" w:rsidP="00B3409F">
            <w:pPr>
              <w:rPr>
                <w:rFonts w:eastAsia="Times New Roman" w:cstheme="minorHAnsi"/>
                <w:b/>
                <w:color w:val="000000"/>
                <w:lang w:eastAsia="en-AU"/>
              </w:rPr>
            </w:pPr>
            <w:r w:rsidRPr="004A6FB0">
              <w:rPr>
                <w:rFonts w:eastAsia="Times New Roman" w:cstheme="minorHAnsi"/>
                <w:b/>
                <w:color w:val="000000"/>
                <w:lang w:eastAsia="en-AU"/>
              </w:rPr>
              <w:t>MLG</w:t>
            </w:r>
          </w:p>
        </w:tc>
        <w:tc>
          <w:tcPr>
            <w:tcW w:w="634" w:type="pct"/>
            <w:tcBorders>
              <w:top w:val="single" w:sz="4" w:space="0" w:color="auto"/>
              <w:bottom w:val="single" w:sz="4" w:space="0" w:color="auto"/>
            </w:tcBorders>
            <w:noWrap/>
            <w:hideMark/>
          </w:tcPr>
          <w:p w14:paraId="5AB4DCF2" w14:textId="77777777" w:rsidR="008C07B9" w:rsidRPr="004A6FB0" w:rsidRDefault="008C07B9" w:rsidP="00B3409F">
            <w:pPr>
              <w:rPr>
                <w:rFonts w:eastAsia="Times New Roman" w:cstheme="minorHAnsi"/>
                <w:b/>
                <w:i/>
                <w:color w:val="000000"/>
                <w:lang w:eastAsia="en-AU"/>
              </w:rPr>
            </w:pPr>
            <w:r w:rsidRPr="004A6FB0">
              <w:rPr>
                <w:rFonts w:eastAsia="Times New Roman" w:cstheme="minorHAnsi"/>
                <w:b/>
                <w:i/>
                <w:color w:val="000000"/>
                <w:lang w:eastAsia="en-AU"/>
              </w:rPr>
              <w:t>H</w:t>
            </w:r>
          </w:p>
        </w:tc>
        <w:tc>
          <w:tcPr>
            <w:tcW w:w="634" w:type="pct"/>
            <w:tcBorders>
              <w:top w:val="single" w:sz="4" w:space="0" w:color="auto"/>
              <w:bottom w:val="single" w:sz="4" w:space="0" w:color="auto"/>
            </w:tcBorders>
            <w:noWrap/>
            <w:hideMark/>
          </w:tcPr>
          <w:p w14:paraId="678D26E6" w14:textId="77777777" w:rsidR="008C07B9" w:rsidRPr="004A6FB0" w:rsidRDefault="008C07B9" w:rsidP="00B3409F">
            <w:pPr>
              <w:rPr>
                <w:rFonts w:eastAsia="Times New Roman" w:cstheme="minorHAnsi"/>
                <w:b/>
                <w:color w:val="000000"/>
                <w:lang w:eastAsia="en-AU"/>
              </w:rPr>
            </w:pPr>
            <w:r w:rsidRPr="004A6FB0">
              <w:rPr>
                <w:rFonts w:cstheme="minorHAnsi"/>
                <w:b/>
              </w:rPr>
              <w:t>1-λ</w:t>
            </w:r>
          </w:p>
        </w:tc>
        <w:tc>
          <w:tcPr>
            <w:tcW w:w="634" w:type="pct"/>
            <w:tcBorders>
              <w:top w:val="single" w:sz="4" w:space="0" w:color="auto"/>
              <w:bottom w:val="single" w:sz="4" w:space="0" w:color="auto"/>
            </w:tcBorders>
            <w:noWrap/>
            <w:hideMark/>
          </w:tcPr>
          <w:p w14:paraId="60C299E0" w14:textId="77777777" w:rsidR="008C07B9" w:rsidRPr="008C07B9" w:rsidRDefault="008C07B9" w:rsidP="00B3409F">
            <w:pPr>
              <w:rPr>
                <w:rFonts w:eastAsia="Times New Roman" w:cstheme="minorHAnsi"/>
                <w:b/>
                <w:i/>
                <w:color w:val="000000"/>
                <w:lang w:eastAsia="en-AU"/>
              </w:rPr>
            </w:pPr>
            <w:proofErr w:type="spellStart"/>
            <w:r w:rsidRPr="008C07B9">
              <w:rPr>
                <w:rFonts w:eastAsia="Times New Roman" w:cstheme="minorHAnsi"/>
                <w:b/>
                <w:i/>
                <w:color w:val="000000"/>
                <w:lang w:eastAsia="en-AU"/>
              </w:rPr>
              <w:t>H</w:t>
            </w:r>
            <w:r w:rsidRPr="008C07B9">
              <w:rPr>
                <w:rFonts w:eastAsia="Times New Roman" w:cstheme="minorHAnsi"/>
                <w:b/>
                <w:i/>
                <w:color w:val="000000"/>
                <w:vertAlign w:val="subscript"/>
                <w:lang w:eastAsia="en-AU"/>
              </w:rPr>
              <w:t>exp</w:t>
            </w:r>
            <w:proofErr w:type="spellEnd"/>
          </w:p>
        </w:tc>
        <w:tc>
          <w:tcPr>
            <w:tcW w:w="634" w:type="pct"/>
            <w:tcBorders>
              <w:top w:val="single" w:sz="4" w:space="0" w:color="auto"/>
              <w:bottom w:val="single" w:sz="4" w:space="0" w:color="auto"/>
            </w:tcBorders>
            <w:noWrap/>
            <w:hideMark/>
          </w:tcPr>
          <w:p w14:paraId="2496133F" w14:textId="77777777" w:rsidR="008C07B9" w:rsidRPr="004A6FB0" w:rsidRDefault="008C07B9" w:rsidP="00B3409F">
            <w:pPr>
              <w:rPr>
                <w:rFonts w:eastAsia="Times New Roman" w:cstheme="minorHAnsi"/>
                <w:b/>
                <w:color w:val="000000"/>
                <w:lang w:eastAsia="en-AU"/>
              </w:rPr>
            </w:pPr>
            <w:proofErr w:type="spellStart"/>
            <w:r w:rsidRPr="004A6FB0">
              <w:rPr>
                <w:rFonts w:ascii="Calibri" w:eastAsia="Times New Roman" w:hAnsi="Calibri" w:cs="Times New Roman"/>
                <w:b/>
                <w:color w:val="000000"/>
                <w:sz w:val="24"/>
                <w:szCs w:val="24"/>
                <w:lang w:eastAsia="en-AU"/>
              </w:rPr>
              <w:t>r̄</w:t>
            </w:r>
            <w:r w:rsidRPr="004A6FB0">
              <w:rPr>
                <w:rFonts w:ascii="Calibri" w:eastAsia="Times New Roman" w:hAnsi="Calibri" w:cs="Times New Roman"/>
                <w:b/>
                <w:color w:val="000000"/>
                <w:sz w:val="24"/>
                <w:szCs w:val="24"/>
                <w:vertAlign w:val="subscript"/>
                <w:lang w:eastAsia="en-AU"/>
              </w:rPr>
              <w:t>d</w:t>
            </w:r>
            <w:proofErr w:type="spellEnd"/>
          </w:p>
        </w:tc>
      </w:tr>
      <w:tr w:rsidR="008C07B9" w:rsidRPr="00460863" w14:paraId="0D21666B" w14:textId="77777777" w:rsidTr="00B3409F">
        <w:trPr>
          <w:trHeight w:val="290"/>
        </w:trPr>
        <w:tc>
          <w:tcPr>
            <w:tcW w:w="1199" w:type="pct"/>
            <w:tcBorders>
              <w:top w:val="single" w:sz="4" w:space="0" w:color="auto"/>
            </w:tcBorders>
            <w:noWrap/>
            <w:hideMark/>
          </w:tcPr>
          <w:p w14:paraId="73A96348" w14:textId="77777777" w:rsidR="008C07B9" w:rsidRPr="00522A9A" w:rsidRDefault="008C07B9" w:rsidP="00B3409F">
            <w:pPr>
              <w:rPr>
                <w:rFonts w:eastAsia="Times New Roman" w:cstheme="minorHAnsi"/>
                <w:color w:val="000000"/>
                <w:lang w:eastAsia="en-AU"/>
              </w:rPr>
            </w:pPr>
            <w:r>
              <w:rPr>
                <w:rFonts w:eastAsia="Times New Roman" w:cstheme="minorHAnsi"/>
                <w:color w:val="000000"/>
                <w:lang w:eastAsia="en-AU"/>
              </w:rPr>
              <w:t>Vic</w:t>
            </w:r>
          </w:p>
        </w:tc>
        <w:tc>
          <w:tcPr>
            <w:tcW w:w="634" w:type="pct"/>
            <w:tcBorders>
              <w:top w:val="single" w:sz="4" w:space="0" w:color="auto"/>
            </w:tcBorders>
            <w:noWrap/>
            <w:hideMark/>
          </w:tcPr>
          <w:p w14:paraId="4452C82D"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30</w:t>
            </w:r>
          </w:p>
        </w:tc>
        <w:tc>
          <w:tcPr>
            <w:tcW w:w="634" w:type="pct"/>
            <w:tcBorders>
              <w:top w:val="single" w:sz="4" w:space="0" w:color="auto"/>
            </w:tcBorders>
            <w:noWrap/>
            <w:hideMark/>
          </w:tcPr>
          <w:p w14:paraId="36D64C7A"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30</w:t>
            </w:r>
          </w:p>
        </w:tc>
        <w:tc>
          <w:tcPr>
            <w:tcW w:w="634" w:type="pct"/>
            <w:tcBorders>
              <w:top w:val="single" w:sz="4" w:space="0" w:color="auto"/>
            </w:tcBorders>
            <w:noWrap/>
            <w:hideMark/>
          </w:tcPr>
          <w:p w14:paraId="5640ADE6"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3.4</w:t>
            </w:r>
          </w:p>
        </w:tc>
        <w:tc>
          <w:tcPr>
            <w:tcW w:w="634" w:type="pct"/>
            <w:tcBorders>
              <w:top w:val="single" w:sz="4" w:space="0" w:color="auto"/>
            </w:tcBorders>
            <w:noWrap/>
            <w:hideMark/>
          </w:tcPr>
          <w:p w14:paraId="0A5C38A2"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1</w:t>
            </w:r>
          </w:p>
        </w:tc>
        <w:tc>
          <w:tcPr>
            <w:tcW w:w="634" w:type="pct"/>
            <w:tcBorders>
              <w:top w:val="single" w:sz="4" w:space="0" w:color="auto"/>
            </w:tcBorders>
            <w:noWrap/>
            <w:hideMark/>
          </w:tcPr>
          <w:p w14:paraId="761BFE66"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0.188</w:t>
            </w:r>
          </w:p>
        </w:tc>
        <w:tc>
          <w:tcPr>
            <w:tcW w:w="634" w:type="pct"/>
            <w:tcBorders>
              <w:top w:val="single" w:sz="4" w:space="0" w:color="auto"/>
            </w:tcBorders>
            <w:noWrap/>
            <w:hideMark/>
          </w:tcPr>
          <w:p w14:paraId="2AFB7E1A"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0.012</w:t>
            </w:r>
          </w:p>
        </w:tc>
      </w:tr>
      <w:tr w:rsidR="008C07B9" w:rsidRPr="00460863" w14:paraId="3AC5AD74" w14:textId="77777777" w:rsidTr="00B3409F">
        <w:trPr>
          <w:trHeight w:val="290"/>
        </w:trPr>
        <w:tc>
          <w:tcPr>
            <w:tcW w:w="1199" w:type="pct"/>
            <w:noWrap/>
            <w:hideMark/>
          </w:tcPr>
          <w:p w14:paraId="5562C879"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SA</w:t>
            </w:r>
          </w:p>
        </w:tc>
        <w:tc>
          <w:tcPr>
            <w:tcW w:w="634" w:type="pct"/>
            <w:noWrap/>
            <w:hideMark/>
          </w:tcPr>
          <w:p w14:paraId="49B1AD3D"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20</w:t>
            </w:r>
          </w:p>
        </w:tc>
        <w:tc>
          <w:tcPr>
            <w:tcW w:w="634" w:type="pct"/>
            <w:noWrap/>
            <w:hideMark/>
          </w:tcPr>
          <w:p w14:paraId="404FCA7D"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20</w:t>
            </w:r>
          </w:p>
        </w:tc>
        <w:tc>
          <w:tcPr>
            <w:tcW w:w="634" w:type="pct"/>
            <w:noWrap/>
            <w:hideMark/>
          </w:tcPr>
          <w:p w14:paraId="5017E245"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3</w:t>
            </w:r>
          </w:p>
        </w:tc>
        <w:tc>
          <w:tcPr>
            <w:tcW w:w="634" w:type="pct"/>
            <w:noWrap/>
            <w:hideMark/>
          </w:tcPr>
          <w:p w14:paraId="3F504822"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1</w:t>
            </w:r>
          </w:p>
        </w:tc>
        <w:tc>
          <w:tcPr>
            <w:tcW w:w="634" w:type="pct"/>
            <w:noWrap/>
            <w:hideMark/>
          </w:tcPr>
          <w:p w14:paraId="4E175713"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0.175</w:t>
            </w:r>
          </w:p>
        </w:tc>
        <w:tc>
          <w:tcPr>
            <w:tcW w:w="634" w:type="pct"/>
            <w:noWrap/>
            <w:hideMark/>
          </w:tcPr>
          <w:p w14:paraId="70745AA0"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0.013</w:t>
            </w:r>
          </w:p>
        </w:tc>
      </w:tr>
      <w:tr w:rsidR="008C07B9" w:rsidRPr="00460863" w14:paraId="642C206B" w14:textId="77777777" w:rsidTr="00B3409F">
        <w:trPr>
          <w:trHeight w:val="290"/>
        </w:trPr>
        <w:tc>
          <w:tcPr>
            <w:tcW w:w="1199" w:type="pct"/>
            <w:noWrap/>
            <w:hideMark/>
          </w:tcPr>
          <w:p w14:paraId="4C9C0266" w14:textId="77777777" w:rsidR="008C07B9" w:rsidRPr="00522A9A" w:rsidRDefault="008C07B9" w:rsidP="00B3409F">
            <w:pPr>
              <w:rPr>
                <w:rFonts w:eastAsia="Times New Roman" w:cstheme="minorHAnsi"/>
                <w:color w:val="000000"/>
                <w:lang w:eastAsia="en-AU"/>
              </w:rPr>
            </w:pPr>
            <w:r>
              <w:rPr>
                <w:rFonts w:eastAsia="Times New Roman" w:cstheme="minorHAnsi"/>
                <w:color w:val="000000"/>
                <w:lang w:eastAsia="en-AU"/>
              </w:rPr>
              <w:t>Qld and NSW</w:t>
            </w:r>
          </w:p>
        </w:tc>
        <w:tc>
          <w:tcPr>
            <w:tcW w:w="634" w:type="pct"/>
            <w:noWrap/>
            <w:hideMark/>
          </w:tcPr>
          <w:p w14:paraId="1814D2EE"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8</w:t>
            </w:r>
          </w:p>
        </w:tc>
        <w:tc>
          <w:tcPr>
            <w:tcW w:w="634" w:type="pct"/>
            <w:noWrap/>
            <w:hideMark/>
          </w:tcPr>
          <w:p w14:paraId="71ECC010"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8</w:t>
            </w:r>
          </w:p>
        </w:tc>
        <w:tc>
          <w:tcPr>
            <w:tcW w:w="634" w:type="pct"/>
            <w:noWrap/>
            <w:hideMark/>
          </w:tcPr>
          <w:p w14:paraId="22910A38"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2.08</w:t>
            </w:r>
          </w:p>
        </w:tc>
        <w:tc>
          <w:tcPr>
            <w:tcW w:w="634" w:type="pct"/>
            <w:noWrap/>
            <w:hideMark/>
          </w:tcPr>
          <w:p w14:paraId="3141C91B"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1</w:t>
            </w:r>
          </w:p>
        </w:tc>
        <w:tc>
          <w:tcPr>
            <w:tcW w:w="634" w:type="pct"/>
            <w:noWrap/>
            <w:hideMark/>
          </w:tcPr>
          <w:p w14:paraId="2669DE74"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0.193</w:t>
            </w:r>
          </w:p>
        </w:tc>
        <w:tc>
          <w:tcPr>
            <w:tcW w:w="634" w:type="pct"/>
            <w:noWrap/>
            <w:hideMark/>
          </w:tcPr>
          <w:p w14:paraId="4687D611"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0.005</w:t>
            </w:r>
          </w:p>
        </w:tc>
      </w:tr>
      <w:tr w:rsidR="008C07B9" w:rsidRPr="00460863" w14:paraId="754A5DB2" w14:textId="77777777" w:rsidTr="00B3409F">
        <w:trPr>
          <w:trHeight w:val="290"/>
        </w:trPr>
        <w:tc>
          <w:tcPr>
            <w:tcW w:w="1199" w:type="pct"/>
            <w:noWrap/>
            <w:hideMark/>
          </w:tcPr>
          <w:p w14:paraId="0BE48556"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WA</w:t>
            </w:r>
          </w:p>
        </w:tc>
        <w:tc>
          <w:tcPr>
            <w:tcW w:w="634" w:type="pct"/>
            <w:noWrap/>
            <w:hideMark/>
          </w:tcPr>
          <w:p w14:paraId="58DBED43"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193</w:t>
            </w:r>
          </w:p>
        </w:tc>
        <w:tc>
          <w:tcPr>
            <w:tcW w:w="634" w:type="pct"/>
            <w:noWrap/>
            <w:hideMark/>
          </w:tcPr>
          <w:p w14:paraId="082A05F3"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181</w:t>
            </w:r>
          </w:p>
        </w:tc>
        <w:tc>
          <w:tcPr>
            <w:tcW w:w="634" w:type="pct"/>
            <w:noWrap/>
            <w:hideMark/>
          </w:tcPr>
          <w:p w14:paraId="4F32F040"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5.15</w:t>
            </w:r>
          </w:p>
        </w:tc>
        <w:tc>
          <w:tcPr>
            <w:tcW w:w="634" w:type="pct"/>
            <w:noWrap/>
            <w:hideMark/>
          </w:tcPr>
          <w:p w14:paraId="7037B132"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0.993</w:t>
            </w:r>
          </w:p>
        </w:tc>
        <w:tc>
          <w:tcPr>
            <w:tcW w:w="634" w:type="pct"/>
            <w:noWrap/>
            <w:hideMark/>
          </w:tcPr>
          <w:p w14:paraId="43BBF180"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0.189</w:t>
            </w:r>
          </w:p>
        </w:tc>
        <w:tc>
          <w:tcPr>
            <w:tcW w:w="634" w:type="pct"/>
            <w:noWrap/>
            <w:hideMark/>
          </w:tcPr>
          <w:p w14:paraId="1C2C9484"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0.015</w:t>
            </w:r>
          </w:p>
        </w:tc>
      </w:tr>
      <w:tr w:rsidR="008C07B9" w:rsidRPr="00460863" w14:paraId="0040A74E" w14:textId="77777777" w:rsidTr="00B3409F">
        <w:trPr>
          <w:trHeight w:val="290"/>
        </w:trPr>
        <w:tc>
          <w:tcPr>
            <w:tcW w:w="1199" w:type="pct"/>
            <w:tcBorders>
              <w:bottom w:val="single" w:sz="4" w:space="0" w:color="auto"/>
            </w:tcBorders>
            <w:noWrap/>
            <w:hideMark/>
          </w:tcPr>
          <w:p w14:paraId="40F97C63"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Total</w:t>
            </w:r>
          </w:p>
        </w:tc>
        <w:tc>
          <w:tcPr>
            <w:tcW w:w="634" w:type="pct"/>
            <w:tcBorders>
              <w:bottom w:val="single" w:sz="4" w:space="0" w:color="auto"/>
            </w:tcBorders>
            <w:noWrap/>
            <w:hideMark/>
          </w:tcPr>
          <w:p w14:paraId="3E25AC38"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251</w:t>
            </w:r>
          </w:p>
        </w:tc>
        <w:tc>
          <w:tcPr>
            <w:tcW w:w="634" w:type="pct"/>
            <w:tcBorders>
              <w:bottom w:val="single" w:sz="4" w:space="0" w:color="auto"/>
            </w:tcBorders>
            <w:noWrap/>
            <w:hideMark/>
          </w:tcPr>
          <w:p w14:paraId="464CBA68"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239</w:t>
            </w:r>
          </w:p>
        </w:tc>
        <w:tc>
          <w:tcPr>
            <w:tcW w:w="634" w:type="pct"/>
            <w:tcBorders>
              <w:bottom w:val="single" w:sz="4" w:space="0" w:color="auto"/>
            </w:tcBorders>
            <w:noWrap/>
            <w:hideMark/>
          </w:tcPr>
          <w:p w14:paraId="08980E5D"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5.44</w:t>
            </w:r>
          </w:p>
        </w:tc>
        <w:tc>
          <w:tcPr>
            <w:tcW w:w="634" w:type="pct"/>
            <w:tcBorders>
              <w:bottom w:val="single" w:sz="4" w:space="0" w:color="auto"/>
            </w:tcBorders>
            <w:noWrap/>
            <w:hideMark/>
          </w:tcPr>
          <w:p w14:paraId="4C6BAC73"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1</w:t>
            </w:r>
          </w:p>
        </w:tc>
        <w:tc>
          <w:tcPr>
            <w:tcW w:w="634" w:type="pct"/>
            <w:tcBorders>
              <w:bottom w:val="single" w:sz="4" w:space="0" w:color="auto"/>
            </w:tcBorders>
            <w:noWrap/>
            <w:hideMark/>
          </w:tcPr>
          <w:p w14:paraId="3D23BE2D" w14:textId="77777777" w:rsidR="008C07B9" w:rsidRPr="00522A9A" w:rsidRDefault="008C07B9" w:rsidP="00B3409F">
            <w:pPr>
              <w:rPr>
                <w:rFonts w:eastAsia="Times New Roman" w:cstheme="minorHAnsi"/>
                <w:color w:val="000000"/>
                <w:lang w:eastAsia="en-AU"/>
              </w:rPr>
            </w:pPr>
            <w:r w:rsidRPr="00522A9A">
              <w:rPr>
                <w:rFonts w:eastAsia="Times New Roman" w:cstheme="minorHAnsi"/>
                <w:color w:val="000000"/>
                <w:lang w:eastAsia="en-AU"/>
              </w:rPr>
              <w:t>0.19</w:t>
            </w:r>
            <w:r w:rsidRPr="00460863">
              <w:rPr>
                <w:rFonts w:eastAsia="Times New Roman" w:cstheme="minorHAnsi"/>
                <w:color w:val="000000"/>
                <w:lang w:eastAsia="en-AU"/>
              </w:rPr>
              <w:t>0</w:t>
            </w:r>
          </w:p>
        </w:tc>
        <w:tc>
          <w:tcPr>
            <w:tcW w:w="634" w:type="pct"/>
            <w:tcBorders>
              <w:bottom w:val="single" w:sz="4" w:space="0" w:color="auto"/>
            </w:tcBorders>
            <w:noWrap/>
            <w:hideMark/>
          </w:tcPr>
          <w:p w14:paraId="1F439F3D" w14:textId="77777777" w:rsidR="008C07B9" w:rsidRPr="00522A9A" w:rsidRDefault="008C07B9" w:rsidP="00B3409F">
            <w:pPr>
              <w:rPr>
                <w:rFonts w:eastAsia="Times New Roman" w:cstheme="minorHAnsi"/>
                <w:color w:val="000000"/>
                <w:lang w:eastAsia="en-AU"/>
              </w:rPr>
            </w:pPr>
            <w:r w:rsidRPr="00460863">
              <w:rPr>
                <w:rFonts w:eastAsia="Times New Roman" w:cstheme="minorHAnsi"/>
                <w:color w:val="000000"/>
                <w:lang w:eastAsia="en-AU"/>
              </w:rPr>
              <w:t>0.013</w:t>
            </w:r>
          </w:p>
        </w:tc>
      </w:tr>
    </w:tbl>
    <w:p w14:paraId="4552802D" w14:textId="77777777" w:rsidR="00B3409F" w:rsidRDefault="00B3409F" w:rsidP="00B3409F">
      <w:pPr>
        <w:pStyle w:val="NoSpacing"/>
      </w:pPr>
      <w:proofErr w:type="gramStart"/>
      <w:r w:rsidRPr="001B16E5">
        <w:rPr>
          <w:i/>
        </w:rPr>
        <w:t>n</w:t>
      </w:r>
      <w:proofErr w:type="gramEnd"/>
      <w:r>
        <w:t>: Number of isolates in a sample group</w:t>
      </w:r>
      <w:r w:rsidRPr="009B3DCB">
        <w:t xml:space="preserve"> after </w:t>
      </w:r>
      <w:r>
        <w:t xml:space="preserve">data quality </w:t>
      </w:r>
      <w:r w:rsidRPr="009B3DCB">
        <w:t xml:space="preserve">filtering. </w:t>
      </w:r>
    </w:p>
    <w:p w14:paraId="090C0F80" w14:textId="77777777" w:rsidR="00B3409F" w:rsidRDefault="00B3409F" w:rsidP="00B3409F">
      <w:pPr>
        <w:pStyle w:val="NoSpacing"/>
      </w:pPr>
      <w:r w:rsidRPr="009B3DCB">
        <w:t xml:space="preserve">MLG: </w:t>
      </w:r>
      <w:r>
        <w:t xml:space="preserve">The total </w:t>
      </w:r>
      <w:r w:rsidRPr="009B3DCB">
        <w:t xml:space="preserve">number of </w:t>
      </w:r>
      <w:r>
        <w:t xml:space="preserve">unique </w:t>
      </w:r>
      <w:r w:rsidRPr="009B3DCB">
        <w:t>multi-locus genot</w:t>
      </w:r>
      <w:r>
        <w:t>ypes (MLGs) identified per region. *Indicates the cumulative number of MLGs irrespective of region.</w:t>
      </w:r>
    </w:p>
    <w:p w14:paraId="6216FF3E" w14:textId="77777777" w:rsidR="00B3409F" w:rsidRDefault="00B3409F" w:rsidP="00B3409F">
      <w:pPr>
        <w:pStyle w:val="NoSpacing"/>
      </w:pPr>
      <w:r w:rsidRPr="001B16E5">
        <w:rPr>
          <w:i/>
        </w:rPr>
        <w:t>H</w:t>
      </w:r>
      <w:r w:rsidRPr="009B3DCB">
        <w:t>: Shannon-Wiener in</w:t>
      </w:r>
      <w:r>
        <w:t xml:space="preserve">dex of MLG group genotypic diversity, a measure of the </w:t>
      </w:r>
      <w:r w:rsidRPr="00F36BFE">
        <w:t xml:space="preserve">number of unique </w:t>
      </w:r>
      <w:proofErr w:type="gramStart"/>
      <w:r w:rsidRPr="00F36BFE">
        <w:t>genotypes</w:t>
      </w:r>
      <w:proofErr w:type="gramEnd"/>
      <w:r w:rsidRPr="00F36BFE">
        <w:t xml:space="preserve"> and their homogeneity</w:t>
      </w:r>
      <w:r>
        <w:t>.</w:t>
      </w:r>
    </w:p>
    <w:p w14:paraId="274ADD05" w14:textId="77777777" w:rsidR="00B3409F" w:rsidRDefault="00B3409F" w:rsidP="00B3409F">
      <w:pPr>
        <w:pStyle w:val="NoSpacing"/>
      </w:pPr>
      <w:r>
        <w:t xml:space="preserve">1- </w:t>
      </w:r>
      <w:proofErr w:type="gramStart"/>
      <w:r>
        <w:t>λ</w:t>
      </w:r>
      <w:proofErr w:type="gramEnd"/>
      <w:r>
        <w:t>:</w:t>
      </w:r>
      <w:r w:rsidRPr="009B3DCB">
        <w:t xml:space="preserve"> </w:t>
      </w:r>
      <w:r>
        <w:t>C</w:t>
      </w:r>
      <w:r w:rsidRPr="009B3DCB">
        <w:t>orrected Simpson’s index of MLG diversity</w:t>
      </w:r>
      <w:r>
        <w:t>, the probability two isolates from the same dataset are different genotypes.</w:t>
      </w:r>
    </w:p>
    <w:p w14:paraId="7E0DC714" w14:textId="77777777" w:rsidR="00B3409F" w:rsidRDefault="00B3409F" w:rsidP="00B3409F">
      <w:pPr>
        <w:pStyle w:val="NoSpacing"/>
      </w:pPr>
      <w:proofErr w:type="spellStart"/>
      <w:r w:rsidRPr="00CE586F">
        <w:rPr>
          <w:i/>
        </w:rPr>
        <w:t>H</w:t>
      </w:r>
      <w:r w:rsidRPr="00CE586F">
        <w:rPr>
          <w:i/>
          <w:vertAlign w:val="subscript"/>
        </w:rPr>
        <w:t>exp</w:t>
      </w:r>
      <w:proofErr w:type="spellEnd"/>
      <w:r>
        <w:t>:</w:t>
      </w:r>
      <w:r w:rsidRPr="009B3DCB">
        <w:t xml:space="preserve"> </w:t>
      </w:r>
      <w:proofErr w:type="spellStart"/>
      <w:r w:rsidRPr="009B3DCB">
        <w:t>Nei’s</w:t>
      </w:r>
      <w:proofErr w:type="spellEnd"/>
      <w:r w:rsidRPr="009B3DCB">
        <w:t xml:space="preserve"> unbiased gene diversity index</w:t>
      </w:r>
      <w:r>
        <w:t>, the probability that two randomly selected alleles are different.</w:t>
      </w:r>
    </w:p>
    <w:p w14:paraId="719B484B" w14:textId="21EFEFD3" w:rsidR="00B3409F" w:rsidRDefault="00B3409F" w:rsidP="00B3409F">
      <w:pPr>
        <w:pStyle w:val="NoSpacing"/>
      </w:pPr>
      <w:proofErr w:type="spellStart"/>
      <w:r>
        <w:t>r̄</w:t>
      </w:r>
      <w:r w:rsidRPr="006C6387">
        <w:rPr>
          <w:vertAlign w:val="subscript"/>
        </w:rPr>
        <w:t>d</w:t>
      </w:r>
      <w:proofErr w:type="spellEnd"/>
      <w:r w:rsidRPr="009B3DCB">
        <w:t xml:space="preserve">: </w:t>
      </w:r>
      <w:r>
        <w:t>The s</w:t>
      </w:r>
      <w:r w:rsidRPr="009B3DCB">
        <w:t>t</w:t>
      </w:r>
      <w:r>
        <w:t xml:space="preserve">andardised index of association, with a value of zero for a null hypothesis a population is freely recombining. </w:t>
      </w:r>
    </w:p>
    <w:p w14:paraId="7AF60B8B" w14:textId="12D3FCE1" w:rsidR="007229A6" w:rsidRDefault="007229A6" w:rsidP="00460863"/>
    <w:p w14:paraId="3B00002D" w14:textId="7162D8AB" w:rsidR="00B31083" w:rsidRDefault="00C650FA" w:rsidP="00B31083">
      <w:r>
        <w:rPr>
          <w:rFonts w:ascii="Calibri" w:hAnsi="Calibri" w:cs="Calibri"/>
          <w:color w:val="000000"/>
          <w:shd w:val="clear" w:color="auto" w:fill="FFFFFF"/>
        </w:rPr>
        <w:t xml:space="preserve">Principal components analysis showed no observable population structure related to collection regions when the first two principal components were plotted against one another (Figure 1). </w:t>
      </w:r>
      <w:r w:rsidR="00B31083">
        <w:rPr>
          <w:rStyle w:val="xcontentpasted1"/>
          <w:rFonts w:ascii="Calibri" w:hAnsi="Calibri" w:cs="Calibri"/>
          <w:color w:val="000000"/>
          <w:bdr w:val="none" w:sz="0" w:space="0" w:color="auto" w:frame="1"/>
          <w:shd w:val="clear" w:color="auto" w:fill="FFFFFF"/>
        </w:rPr>
        <w:t>However, unsupervised clustering analysis performed without </w:t>
      </w:r>
      <w:r w:rsidR="00B31083">
        <w:rPr>
          <w:rStyle w:val="xcontentpasted1"/>
          <w:rFonts w:ascii="Calibri" w:hAnsi="Calibri" w:cs="Calibri"/>
          <w:i/>
          <w:iCs/>
          <w:color w:val="000000"/>
          <w:bdr w:val="none" w:sz="0" w:space="0" w:color="auto" w:frame="1"/>
          <w:shd w:val="clear" w:color="auto" w:fill="FFFFFF"/>
        </w:rPr>
        <w:t>a priori</w:t>
      </w:r>
      <w:r w:rsidR="00B31083">
        <w:rPr>
          <w:rStyle w:val="xcontentpasted1"/>
          <w:rFonts w:ascii="Calibri" w:hAnsi="Calibri" w:cs="Calibri"/>
          <w:color w:val="000000"/>
          <w:bdr w:val="none" w:sz="0" w:space="0" w:color="auto" w:frame="1"/>
          <w:shd w:val="clear" w:color="auto" w:fill="FFFFFF"/>
        </w:rPr>
        <w:t xml:space="preserve"> knowledge of sample location suggested four potential populations (K = </w:t>
      </w:r>
      <w:proofErr w:type="gramStart"/>
      <w:r w:rsidR="00B31083">
        <w:rPr>
          <w:rStyle w:val="xcontentpasted1"/>
          <w:rFonts w:ascii="Calibri" w:hAnsi="Calibri" w:cs="Calibri"/>
          <w:color w:val="000000"/>
          <w:bdr w:val="none" w:sz="0" w:space="0" w:color="auto" w:frame="1"/>
          <w:shd w:val="clear" w:color="auto" w:fill="FFFFFF"/>
        </w:rPr>
        <w:t>4</w:t>
      </w:r>
      <w:proofErr w:type="gramEnd"/>
      <w:r w:rsidR="00B31083">
        <w:rPr>
          <w:rStyle w:val="xcontentpasted1"/>
          <w:rFonts w:ascii="Calibri" w:hAnsi="Calibri" w:cs="Calibri"/>
          <w:color w:val="000000"/>
          <w:bdr w:val="none" w:sz="0" w:space="0" w:color="auto" w:frame="1"/>
          <w:shd w:val="clear" w:color="auto" w:fill="FFFFFF"/>
        </w:rPr>
        <w:t xml:space="preserve">, Figure 2). </w:t>
      </w:r>
      <w:r w:rsidR="00B31083">
        <w:t xml:space="preserve">DAPC was then used to study the </w:t>
      </w:r>
      <w:r w:rsidR="00B31083" w:rsidRPr="008C07B9">
        <w:t>four putative populations</w:t>
      </w:r>
      <w:r w:rsidR="00B31083">
        <w:t xml:space="preserve"> with 40 PCA eigenvalues and </w:t>
      </w:r>
      <w:proofErr w:type="gramStart"/>
      <w:r w:rsidR="00B31083">
        <w:t>two</w:t>
      </w:r>
      <w:r w:rsidR="00B31083" w:rsidRPr="00143546">
        <w:t xml:space="preserve"> discriminant</w:t>
      </w:r>
      <w:proofErr w:type="gramEnd"/>
      <w:r w:rsidR="00B31083" w:rsidRPr="00143546">
        <w:t xml:space="preserve"> analysis (DA) eigenvalues</w:t>
      </w:r>
      <w:r w:rsidR="00B31083">
        <w:t xml:space="preserve"> being retained. Notably, three of the populations (pop1, pop3 and pop4) were present in all four regions; however, Western Australia was the only region to contain the second population (pop2). Only one Western Australian isolate from the original regional analysis (19PTX147) contributed to the pop2, the other ten were isolates from the field level analyses. Isolates in pop2 were also found in pop2 two in the field and regional combined analysis with the SNP markers.</w:t>
      </w:r>
    </w:p>
    <w:p w14:paraId="579A59A1" w14:textId="77777777" w:rsidR="00C650FA" w:rsidRDefault="00C650FA" w:rsidP="00C650FA">
      <w:pPr>
        <w:jc w:val="center"/>
        <w:rPr>
          <w:rFonts w:cstheme="minorHAnsi"/>
        </w:rPr>
      </w:pPr>
      <w:r>
        <w:rPr>
          <w:noProof/>
          <w:lang w:val="en-GB" w:eastAsia="en-GB"/>
        </w:rPr>
        <w:lastRenderedPageBreak/>
        <w:drawing>
          <wp:inline distT="0" distB="0" distL="0" distR="0" wp14:anchorId="18FBEA82" wp14:editId="136035BA">
            <wp:extent cx="5725160" cy="3442970"/>
            <wp:effectExtent l="0" t="0" r="8890" b="5080"/>
            <wp:docPr id="1" name="Picture 1" descr="Rplot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lot31_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5160" cy="3442970"/>
                    </a:xfrm>
                    <a:prstGeom prst="rect">
                      <a:avLst/>
                    </a:prstGeom>
                    <a:noFill/>
                    <a:ln>
                      <a:noFill/>
                    </a:ln>
                  </pic:spPr>
                </pic:pic>
              </a:graphicData>
            </a:graphic>
          </wp:inline>
        </w:drawing>
      </w:r>
    </w:p>
    <w:p w14:paraId="576D58FE" w14:textId="4E6FCCB3" w:rsidR="00C650FA" w:rsidRPr="00460863" w:rsidRDefault="00C650FA" w:rsidP="00C650FA">
      <w:pPr>
        <w:rPr>
          <w:rFonts w:cstheme="minorHAnsi"/>
        </w:rPr>
      </w:pPr>
      <w:r>
        <w:rPr>
          <w:b/>
        </w:rPr>
        <w:t>Supplementary analysis Fig 1</w:t>
      </w:r>
      <w:r w:rsidRPr="00AB6348">
        <w:rPr>
          <w:b/>
        </w:rPr>
        <w:t>. Principal component analysis of</w:t>
      </w:r>
      <w:r>
        <w:rPr>
          <w:b/>
        </w:rPr>
        <w:t xml:space="preserve"> all </w:t>
      </w:r>
      <w:proofErr w:type="spellStart"/>
      <w:r w:rsidRPr="004C7FD7">
        <w:rPr>
          <w:b/>
          <w:i/>
        </w:rPr>
        <w:t>Ptm</w:t>
      </w:r>
      <w:proofErr w:type="spellEnd"/>
      <w:r>
        <w:rPr>
          <w:b/>
        </w:rPr>
        <w:t xml:space="preserve"> samples from four Australian regions</w:t>
      </w:r>
      <w:r w:rsidRPr="000719E7">
        <w:rPr>
          <w:b/>
        </w:rPr>
        <w:t>.</w:t>
      </w:r>
      <w:r>
        <w:t xml:space="preserve"> The national groups are represented by purple, orange, green and pink </w:t>
      </w:r>
      <w:proofErr w:type="gramStart"/>
      <w:r>
        <w:t>dots,</w:t>
      </w:r>
      <w:proofErr w:type="gramEnd"/>
      <w:r>
        <w:t xml:space="preserve"> Respective coloured eclipses indicate 95% confidence intervals.</w:t>
      </w:r>
    </w:p>
    <w:p w14:paraId="66AD022A" w14:textId="77777777" w:rsidR="00C650FA" w:rsidRDefault="00C650FA" w:rsidP="00460863"/>
    <w:p w14:paraId="4C25D7AB" w14:textId="2405F469" w:rsidR="002110E9" w:rsidRDefault="002110E9" w:rsidP="00460863"/>
    <w:p w14:paraId="62CFA4D8" w14:textId="77777777" w:rsidR="002110E9" w:rsidRDefault="002110E9" w:rsidP="002110E9">
      <w:pPr>
        <w:jc w:val="center"/>
      </w:pPr>
      <w:r w:rsidRPr="002110E9">
        <w:rPr>
          <w:noProof/>
          <w:lang w:val="en-GB" w:eastAsia="en-GB"/>
        </w:rPr>
        <w:drawing>
          <wp:inline distT="0" distB="0" distL="0" distR="0" wp14:anchorId="542074F5" wp14:editId="7C33CD1E">
            <wp:extent cx="3820038" cy="2358483"/>
            <wp:effectExtent l="0" t="0" r="9525" b="3810"/>
            <wp:docPr id="3" name="Picture 3" descr="C:\Users\18341548\Documents\Finalised images\Rplot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8341548\Documents\Finalised images\Rplot3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3316" cy="2360507"/>
                    </a:xfrm>
                    <a:prstGeom prst="rect">
                      <a:avLst/>
                    </a:prstGeom>
                    <a:noFill/>
                    <a:ln>
                      <a:noFill/>
                    </a:ln>
                  </pic:spPr>
                </pic:pic>
              </a:graphicData>
            </a:graphic>
          </wp:inline>
        </w:drawing>
      </w:r>
    </w:p>
    <w:p w14:paraId="52F3D79F" w14:textId="2C3387E1" w:rsidR="002110E9" w:rsidRDefault="00E7157F" w:rsidP="002110E9">
      <w:r>
        <w:rPr>
          <w:b/>
        </w:rPr>
        <w:t xml:space="preserve">Supplementary analysis Fig </w:t>
      </w:r>
      <w:r w:rsidR="00C650FA">
        <w:rPr>
          <w:b/>
        </w:rPr>
        <w:t>2</w:t>
      </w:r>
      <w:r w:rsidR="002110E9">
        <w:rPr>
          <w:b/>
        </w:rPr>
        <w:t xml:space="preserve">. Cluster analysis </w:t>
      </w:r>
      <w:r>
        <w:rPr>
          <w:b/>
        </w:rPr>
        <w:t xml:space="preserve">using </w:t>
      </w:r>
      <w:proofErr w:type="spellStart"/>
      <w:r>
        <w:rPr>
          <w:b/>
        </w:rPr>
        <w:t>sillicoDArT</w:t>
      </w:r>
      <w:proofErr w:type="spellEnd"/>
      <w:r>
        <w:rPr>
          <w:b/>
        </w:rPr>
        <w:t xml:space="preserve"> markers </w:t>
      </w:r>
      <w:r w:rsidR="002110E9">
        <w:rPr>
          <w:b/>
        </w:rPr>
        <w:t xml:space="preserve">based on </w:t>
      </w:r>
      <w:r>
        <w:rPr>
          <w:b/>
        </w:rPr>
        <w:t>DPAC</w:t>
      </w:r>
      <w:r w:rsidR="002110E9">
        <w:rPr>
          <w:b/>
        </w:rPr>
        <w:t xml:space="preserve"> (DAPC, </w:t>
      </w:r>
      <w:proofErr w:type="spellStart"/>
      <w:r w:rsidR="002110E9">
        <w:rPr>
          <w:b/>
        </w:rPr>
        <w:t>Jombart</w:t>
      </w:r>
      <w:proofErr w:type="spellEnd"/>
      <w:r w:rsidR="002110E9">
        <w:rPr>
          <w:b/>
        </w:rPr>
        <w:t xml:space="preserve"> et al. 2010)</w:t>
      </w:r>
      <w:r>
        <w:rPr>
          <w:b/>
        </w:rPr>
        <w:t xml:space="preserve"> with </w:t>
      </w:r>
      <w:r w:rsidR="008C07B9">
        <w:rPr>
          <w:b/>
        </w:rPr>
        <w:t xml:space="preserve">251 </w:t>
      </w:r>
      <w:r>
        <w:rPr>
          <w:b/>
        </w:rPr>
        <w:t xml:space="preserve">Australian </w:t>
      </w:r>
      <w:proofErr w:type="spellStart"/>
      <w:r>
        <w:rPr>
          <w:b/>
          <w:i/>
        </w:rPr>
        <w:t>Ptm</w:t>
      </w:r>
      <w:proofErr w:type="spellEnd"/>
      <w:r>
        <w:rPr>
          <w:b/>
        </w:rPr>
        <w:t xml:space="preserve"> isolates </w:t>
      </w:r>
      <w:r w:rsidR="008C07B9">
        <w:rPr>
          <w:b/>
        </w:rPr>
        <w:t>collected</w:t>
      </w:r>
      <w:r w:rsidR="002110E9">
        <w:rPr>
          <w:b/>
        </w:rPr>
        <w:t xml:space="preserve">. </w:t>
      </w:r>
      <w:r w:rsidR="002110E9">
        <w:t xml:space="preserve">In order to produce the line plot, successive runs of K-means </w:t>
      </w:r>
      <w:r w:rsidR="001E1F82">
        <w:t>were</w:t>
      </w:r>
      <w:r w:rsidR="002110E9">
        <w:t xml:space="preserve"> recorded with an increasing number of clusters (K), after transforming the isolate </w:t>
      </w:r>
      <w:proofErr w:type="spellStart"/>
      <w:r w:rsidR="00C650FA" w:rsidRPr="00C650FA">
        <w:t>sillicoDArT</w:t>
      </w:r>
      <w:proofErr w:type="spellEnd"/>
      <w:r w:rsidR="002110E9">
        <w:t xml:space="preserve"> data using a principal component analysis (PCA). For each cluster, a BIC (</w:t>
      </w:r>
      <w:r w:rsidR="008C07B9">
        <w:t>B</w:t>
      </w:r>
      <w:r w:rsidR="002110E9">
        <w:t xml:space="preserve">ayesian information criterion) value is computed. Using the ‘elbow </w:t>
      </w:r>
      <w:proofErr w:type="gramStart"/>
      <w:r w:rsidR="002110E9">
        <w:t>method’</w:t>
      </w:r>
      <w:proofErr w:type="gramEnd"/>
      <w:r w:rsidR="002110E9">
        <w:t xml:space="preserve"> </w:t>
      </w:r>
      <w:r w:rsidR="001E1F82">
        <w:t>the</w:t>
      </w:r>
      <w:r w:rsidR="002110E9">
        <w:t xml:space="preserve"> optimal </w:t>
      </w:r>
      <w:r w:rsidR="000F7883">
        <w:t>K</w:t>
      </w:r>
      <w:r w:rsidR="002110E9">
        <w:t xml:space="preserve"> value </w:t>
      </w:r>
      <w:r w:rsidR="001E1F82">
        <w:t>was</w:t>
      </w:r>
      <w:r w:rsidR="002110E9">
        <w:t xml:space="preserve"> inferred </w:t>
      </w:r>
      <w:r w:rsidR="001E1F82">
        <w:t>as</w:t>
      </w:r>
      <w:r w:rsidR="002110E9">
        <w:t xml:space="preserve"> </w:t>
      </w:r>
      <w:r w:rsidR="008C07B9">
        <w:t>four</w:t>
      </w:r>
      <w:r w:rsidR="00A27E03">
        <w:t>. The</w:t>
      </w:r>
      <w:r w:rsidR="002110E9">
        <w:t xml:space="preserve"> procedure was performed in </w:t>
      </w:r>
      <w:proofErr w:type="spellStart"/>
      <w:r w:rsidR="00B76E11" w:rsidRPr="009B3DCB">
        <w:t>RStudio</w:t>
      </w:r>
      <w:proofErr w:type="spellEnd"/>
      <w:r w:rsidR="00B76E11">
        <w:t xml:space="preserve"> (</w:t>
      </w:r>
      <w:proofErr w:type="spellStart"/>
      <w:r w:rsidR="00B76E11" w:rsidRPr="00892F89">
        <w:t>RStudio</w:t>
      </w:r>
      <w:proofErr w:type="spellEnd"/>
      <w:r w:rsidR="00B76E11" w:rsidRPr="00892F89">
        <w:t>, Boston, Massachusetts, USA</w:t>
      </w:r>
      <w:r w:rsidR="00B76E11">
        <w:t>)</w:t>
      </w:r>
      <w:r w:rsidR="002110E9">
        <w:t xml:space="preserve"> using the ‘</w:t>
      </w:r>
      <w:proofErr w:type="spellStart"/>
      <w:r w:rsidR="002110E9">
        <w:t>kmean</w:t>
      </w:r>
      <w:proofErr w:type="spellEnd"/>
      <w:r w:rsidR="002110E9">
        <w:t>’ function as part of the ‘</w:t>
      </w:r>
      <w:r w:rsidR="002110E9">
        <w:rPr>
          <w:i/>
        </w:rPr>
        <w:t>stats</w:t>
      </w:r>
      <w:r w:rsidR="002110E9">
        <w:t>’ package.</w:t>
      </w:r>
    </w:p>
    <w:p w14:paraId="5458BD69" w14:textId="2DDECE4F" w:rsidR="00C650FA" w:rsidRPr="002110E9" w:rsidRDefault="00C650FA" w:rsidP="002110E9">
      <w:r>
        <w:t xml:space="preserve"> </w:t>
      </w:r>
    </w:p>
    <w:sectPr w:rsidR="00C650FA" w:rsidRPr="00211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4A"/>
    <w:rsid w:val="000135A5"/>
    <w:rsid w:val="00077AD2"/>
    <w:rsid w:val="000F7883"/>
    <w:rsid w:val="001E1F82"/>
    <w:rsid w:val="001E6B4A"/>
    <w:rsid w:val="002110E9"/>
    <w:rsid w:val="00237E13"/>
    <w:rsid w:val="00340CEB"/>
    <w:rsid w:val="00460863"/>
    <w:rsid w:val="004A6FB0"/>
    <w:rsid w:val="00522A9A"/>
    <w:rsid w:val="00705D72"/>
    <w:rsid w:val="007066B4"/>
    <w:rsid w:val="007229A6"/>
    <w:rsid w:val="00782CEB"/>
    <w:rsid w:val="00893235"/>
    <w:rsid w:val="008C07B9"/>
    <w:rsid w:val="008F2B36"/>
    <w:rsid w:val="00A27E03"/>
    <w:rsid w:val="00AA7E76"/>
    <w:rsid w:val="00AB5853"/>
    <w:rsid w:val="00B2366C"/>
    <w:rsid w:val="00B31083"/>
    <w:rsid w:val="00B3409F"/>
    <w:rsid w:val="00B76E11"/>
    <w:rsid w:val="00BC2160"/>
    <w:rsid w:val="00C04925"/>
    <w:rsid w:val="00C20DD4"/>
    <w:rsid w:val="00C650FA"/>
    <w:rsid w:val="00D469CC"/>
    <w:rsid w:val="00DE39E5"/>
    <w:rsid w:val="00E7157F"/>
    <w:rsid w:val="00EC221E"/>
    <w:rsid w:val="00FD3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38C8"/>
  <w15:chartTrackingRefBased/>
  <w15:docId w15:val="{60650FC3-A5A6-4F80-A36F-CA9F6FFF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B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6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6B4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2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9A6"/>
    <w:pPr>
      <w:spacing w:after="0" w:line="240" w:lineRule="auto"/>
    </w:pPr>
    <w:rPr>
      <w:rFonts w:eastAsia="Times New Roman" w:cs="Times New Roman"/>
      <w:lang w:val="en-GB"/>
    </w:rPr>
  </w:style>
  <w:style w:type="character" w:styleId="CommentReference">
    <w:name w:val="annotation reference"/>
    <w:basedOn w:val="DefaultParagraphFont"/>
    <w:uiPriority w:val="99"/>
    <w:semiHidden/>
    <w:unhideWhenUsed/>
    <w:rsid w:val="00A27E03"/>
    <w:rPr>
      <w:sz w:val="16"/>
      <w:szCs w:val="16"/>
    </w:rPr>
  </w:style>
  <w:style w:type="paragraph" w:styleId="CommentText">
    <w:name w:val="annotation text"/>
    <w:basedOn w:val="Normal"/>
    <w:link w:val="CommentTextChar"/>
    <w:uiPriority w:val="99"/>
    <w:semiHidden/>
    <w:unhideWhenUsed/>
    <w:rsid w:val="00A27E03"/>
    <w:pPr>
      <w:spacing w:line="240" w:lineRule="auto"/>
    </w:pPr>
    <w:rPr>
      <w:sz w:val="20"/>
      <w:szCs w:val="20"/>
    </w:rPr>
  </w:style>
  <w:style w:type="character" w:customStyle="1" w:styleId="CommentTextChar">
    <w:name w:val="Comment Text Char"/>
    <w:basedOn w:val="DefaultParagraphFont"/>
    <w:link w:val="CommentText"/>
    <w:uiPriority w:val="99"/>
    <w:semiHidden/>
    <w:rsid w:val="00A27E03"/>
    <w:rPr>
      <w:sz w:val="20"/>
      <w:szCs w:val="20"/>
    </w:rPr>
  </w:style>
  <w:style w:type="paragraph" w:styleId="CommentSubject">
    <w:name w:val="annotation subject"/>
    <w:basedOn w:val="CommentText"/>
    <w:next w:val="CommentText"/>
    <w:link w:val="CommentSubjectChar"/>
    <w:uiPriority w:val="99"/>
    <w:semiHidden/>
    <w:unhideWhenUsed/>
    <w:rsid w:val="00A27E03"/>
    <w:rPr>
      <w:b/>
      <w:bCs/>
    </w:rPr>
  </w:style>
  <w:style w:type="character" w:customStyle="1" w:styleId="CommentSubjectChar">
    <w:name w:val="Comment Subject Char"/>
    <w:basedOn w:val="CommentTextChar"/>
    <w:link w:val="CommentSubject"/>
    <w:uiPriority w:val="99"/>
    <w:semiHidden/>
    <w:rsid w:val="00A27E03"/>
    <w:rPr>
      <w:b/>
      <w:bCs/>
      <w:sz w:val="20"/>
      <w:szCs w:val="20"/>
    </w:rPr>
  </w:style>
  <w:style w:type="paragraph" w:styleId="BalloonText">
    <w:name w:val="Balloon Text"/>
    <w:basedOn w:val="Normal"/>
    <w:link w:val="BalloonTextChar"/>
    <w:uiPriority w:val="99"/>
    <w:semiHidden/>
    <w:unhideWhenUsed/>
    <w:rsid w:val="00A2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03"/>
    <w:rPr>
      <w:rFonts w:ascii="Segoe UI" w:hAnsi="Segoe UI" w:cs="Segoe UI"/>
      <w:sz w:val="18"/>
      <w:szCs w:val="18"/>
    </w:rPr>
  </w:style>
  <w:style w:type="character" w:customStyle="1" w:styleId="xcontentpasted1">
    <w:name w:val="x_contentpasted1"/>
    <w:basedOn w:val="DefaultParagraphFont"/>
    <w:rsid w:val="00C6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3226">
      <w:bodyDiv w:val="1"/>
      <w:marLeft w:val="0"/>
      <w:marRight w:val="0"/>
      <w:marTop w:val="0"/>
      <w:marBottom w:val="0"/>
      <w:divBdr>
        <w:top w:val="none" w:sz="0" w:space="0" w:color="auto"/>
        <w:left w:val="none" w:sz="0" w:space="0" w:color="auto"/>
        <w:bottom w:val="none" w:sz="0" w:space="0" w:color="auto"/>
        <w:right w:val="none" w:sz="0" w:space="0" w:color="auto"/>
      </w:divBdr>
    </w:div>
    <w:div w:id="7053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Kealan Gerard Hassett</dc:creator>
  <cp:keywords/>
  <dc:description/>
  <cp:lastModifiedBy>Simon Ellwood</cp:lastModifiedBy>
  <cp:revision>19</cp:revision>
  <dcterms:created xsi:type="dcterms:W3CDTF">2022-11-02T03:20:00Z</dcterms:created>
  <dcterms:modified xsi:type="dcterms:W3CDTF">2022-11-17T03:56:00Z</dcterms:modified>
</cp:coreProperties>
</file>