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68B6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SUPPORTING INFORMATION</w:t>
      </w:r>
    </w:p>
    <w:p w14:paraId="00000002" w14:textId="77777777" w:rsidR="00EE68B6" w:rsidRDefault="00EE68B6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Figures</w:t>
      </w:r>
    </w:p>
    <w:p w14:paraId="00000004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 S1. Read coverage along chromosomes of hybrid isolate 118 identifies putative chromosome aneuploidy.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Mapping of Illumina reads from isolate 118 showed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1.5 times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higher read coverage for chromosome 8 (average raw read coverage = 26.1) relative to the other eleven chromosomes (average raw read coverage: 17.0). Coverage is depicted along each chromosome for 10Kb windows. In spite of this chromosomal abnormality the hybrid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isolate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118 does not stand out phenotypically in this study, and the observation was not studied further here. </w:t>
      </w:r>
    </w:p>
    <w:p w14:paraId="00000005" w14:textId="77777777" w:rsidR="00EE68B6" w:rsidRDefault="00EE68B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 S2. Recombination blocks of the F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hybrid population (Ptt0-1 × PtmFGO). </w:t>
      </w:r>
      <w:r>
        <w:rPr>
          <w:rFonts w:ascii="Times New Roman" w:eastAsia="Times New Roman" w:hAnsi="Times New Roman" w:cs="Times New Roman"/>
          <w:sz w:val="24"/>
          <w:szCs w:val="24"/>
        </w:rPr>
        <w:t>Chromosomes in the genome of Ptt0-1 are shown on the x-axis and isolate number is shown on the y-axis. Red blocks indicate the isolate inherited alleles from Ptt0-1 and blue blocks indicate the isolate inherited alleles from PtmFGO. Purple blocks are alleles of undetermined parentage.</w:t>
      </w:r>
    </w:p>
    <w:p w14:paraId="00000007" w14:textId="77777777" w:rsidR="00EE68B6" w:rsidRDefault="00EE68B6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 S3. Neighbornet graph of 166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P. teres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isolates.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P. teres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isolates are labeled with red nodes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P. teres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maculata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isolates are labeled in blue. </w:t>
      </w:r>
    </w:p>
    <w:p w14:paraId="00000009" w14:textId="77777777" w:rsidR="00EE68B6" w:rsidRDefault="00EE68B6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EE68B6" w:rsidRDefault="00000000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 S4. Field isolates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Ptt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Ptm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exhibit genetic differentiation along genomes.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Nucleotide diversity, and divergence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P. teres 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P. teres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maculata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population from Iran. Chromosomes and positions are represented on the x-axis along with gene density (gray segments), effectors (green), and biosynthetic gene clusters (blue). Level of diversity and divergence are shown on the y-axis. The top panels are the nucleotide diversity (π)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the bottom panels are divergence between lineages (Dxy and Fst). Dashed lines indicated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top 10% values for each statistic. Black arrows at chromosome 3: positions 2613142 - 2655000, chromosome 6: positions 1503851 - 1504863, and chromosome 8: positions 549752 - 550000 indicate regions showing high Dxy, Fst, and linkage disequilibrium and overlap with virulence QTLs.</w:t>
      </w:r>
    </w:p>
    <w:p w14:paraId="0000000B" w14:textId="77777777" w:rsidR="00EE68B6" w:rsidRDefault="00EE68B6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EE68B6" w:rsidRDefault="00EE68B6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Tables</w:t>
      </w:r>
    </w:p>
    <w:p w14:paraId="0000000E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</w:t>
      </w:r>
      <w:r>
        <w:rPr>
          <w:rFonts w:ascii="Times New Roman" w:eastAsia="Times New Roman" w:hAnsi="Times New Roman" w:cs="Times New Roman"/>
          <w:sz w:val="24"/>
          <w:szCs w:val="24"/>
        </w:rPr>
        <w:t>Coordinates of Biosynthetic Gene Clusters (BGCs) and effectors in the Ptt0-1 and FGOB10Ptm-1 genomes.</w:t>
      </w:r>
    </w:p>
    <w:p w14:paraId="0000000F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S2. </w:t>
      </w:r>
      <w:r>
        <w:rPr>
          <w:rFonts w:ascii="Times New Roman" w:eastAsia="Times New Roman" w:hAnsi="Times New Roman" w:cs="Times New Roman"/>
          <w:sz w:val="24"/>
          <w:szCs w:val="24"/>
        </w:rPr>
        <w:t>Sequencing statistics of the Ptt0-1 × Ptt15A 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haploid progeny.</w:t>
      </w:r>
    </w:p>
    <w:p w14:paraId="00000010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S3. </w:t>
      </w:r>
      <w:r>
        <w:rPr>
          <w:rFonts w:ascii="Times New Roman" w:eastAsia="Times New Roman" w:hAnsi="Times New Roman" w:cs="Times New Roman"/>
          <w:sz w:val="24"/>
          <w:szCs w:val="24"/>
        </w:rPr>
        <w:t>Sequencing statistics of the PtmFGO × PtmSG1 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haploid progeny.</w:t>
      </w:r>
    </w:p>
    <w:p w14:paraId="00000011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S4. </w:t>
      </w:r>
      <w:r>
        <w:rPr>
          <w:rFonts w:ascii="Times New Roman" w:eastAsia="Times New Roman" w:hAnsi="Times New Roman" w:cs="Times New Roman"/>
          <w:sz w:val="24"/>
          <w:szCs w:val="24"/>
        </w:rPr>
        <w:t>List hybrid haploid progeny from the Ptt0-1 × PtmFGO crossing experiments and sequencing statistics.</w:t>
      </w:r>
    </w:p>
    <w:p w14:paraId="00000012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S5.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Average read coverage of Illumina sequencing for hybrid population</w:t>
      </w:r>
    </w:p>
    <w:p w14:paraId="00000013" w14:textId="77777777" w:rsidR="00EE68B6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S6. </w:t>
      </w:r>
      <w:r>
        <w:rPr>
          <w:rFonts w:ascii="Times New Roman" w:eastAsia="Times New Roman" w:hAnsi="Times New Roman" w:cs="Times New Roman"/>
          <w:sz w:val="24"/>
          <w:szCs w:val="24"/>
        </w:rPr>
        <w:t>Recombination hotspots in Ptt0-1 × Ptt15A, PtmFGO × PtmSG1, and Ptt0-1 × PtmFGO crosses.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Coordinates for the recombination hotspots are shown for each chromosome and within a 10kb region.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4" w14:textId="77777777" w:rsidR="00EE68B6" w:rsidRDefault="00000000">
      <w:pPr>
        <w:widowControl w:val="0"/>
        <w:spacing w:after="3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S7. </w:t>
      </w:r>
      <w:r>
        <w:rPr>
          <w:rFonts w:ascii="Times New Roman" w:eastAsia="Times New Roman" w:hAnsi="Times New Roman" w:cs="Times New Roman"/>
          <w:sz w:val="24"/>
          <w:szCs w:val="24"/>
        </w:rPr>
        <w:t>Isolates used in population analyses with corresponding information on subspecies, location of origin and sequencing information.</w:t>
      </w:r>
    </w:p>
    <w:p w14:paraId="00000015" w14:textId="77777777" w:rsidR="00EE68B6" w:rsidRDefault="00000000">
      <w:pPr>
        <w:widowControl w:val="0"/>
        <w:spacing w:after="3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S8. </w:t>
      </w:r>
      <w:r>
        <w:rPr>
          <w:rFonts w:ascii="Times New Roman" w:eastAsia="Times New Roman" w:hAnsi="Times New Roman" w:cs="Times New Roman"/>
          <w:sz w:val="24"/>
          <w:szCs w:val="24"/>
        </w:rPr>
        <w:t>Coordinates of Dxy and Fst outliers, and associated putative DMIs.</w:t>
      </w:r>
    </w:p>
    <w:p w14:paraId="00000016" w14:textId="77777777" w:rsidR="00EE68B6" w:rsidRDefault="00EE68B6">
      <w:pPr>
        <w:widowControl w:val="0"/>
        <w:spacing w:after="3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E68B6" w:rsidRDefault="00000000">
      <w:pPr>
        <w:widowControl w:val="0"/>
        <w:spacing w:after="3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File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Interchromosomal odds ratio across the Ptt0-1 genome. The statistic 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calculated by multiplying the number of the Ptt0-1 and PtmFGO parental genotypes and dividing by the product of the hybrid genotypes. Hybrid genotypes were identified as one allele at one locus coming from Ptt0-1 and the other allele at another locus came from PtmFGO. Parental genotypes were identified as having both alleles from Ptt0-1 or both alleles from PtmFGO. Values greater than 1 indicate higher parental genotype frequency, less than 1 indicates higher hybrid frequency, and equal to 1 indicate parental and hybrid frequencies are equal (Greig et al. 2002).</w:t>
      </w:r>
    </w:p>
    <w:p w14:paraId="00000018" w14:textId="77777777" w:rsidR="00EE68B6" w:rsidRDefault="00EE68B6">
      <w:pPr>
        <w:rPr>
          <w:b/>
        </w:rPr>
      </w:pPr>
    </w:p>
    <w:sectPr w:rsidR="00EE68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B6"/>
    <w:rsid w:val="00C83980"/>
    <w:rsid w:val="00E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CDB57ACE-D52F-314A-8310-9EF8CED0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Stukenbrock</cp:lastModifiedBy>
  <cp:revision>2</cp:revision>
  <dcterms:created xsi:type="dcterms:W3CDTF">2023-02-13T10:42:00Z</dcterms:created>
  <dcterms:modified xsi:type="dcterms:W3CDTF">2023-02-13T10:42:00Z</dcterms:modified>
</cp:coreProperties>
</file>