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55CF" w14:textId="77777777" w:rsidR="00C56C17" w:rsidRPr="006D6AC1" w:rsidRDefault="00C56C17" w:rsidP="00C56C17">
      <w:pPr>
        <w:spacing w:line="480" w:lineRule="auto"/>
        <w:rPr>
          <w:rFonts w:ascii="Times New Roman" w:hAnsi="Times New Roman" w:cs="Times New Roman"/>
          <w:b/>
          <w:sz w:val="32"/>
          <w:szCs w:val="32"/>
          <w:lang w:val="en-US"/>
        </w:rPr>
      </w:pPr>
      <w:r w:rsidRPr="006D6AC1">
        <w:rPr>
          <w:rFonts w:ascii="Times New Roman" w:hAnsi="Times New Roman" w:cs="Times New Roman"/>
          <w:b/>
          <w:sz w:val="32"/>
          <w:szCs w:val="32"/>
          <w:lang w:val="en-US"/>
        </w:rPr>
        <w:t>Supplemental Information</w:t>
      </w:r>
    </w:p>
    <w:p w14:paraId="207CA97D" w14:textId="77777777" w:rsidR="00C56C17" w:rsidRPr="006D6AC1" w:rsidRDefault="00C56C17" w:rsidP="00C56C17">
      <w:pPr>
        <w:spacing w:line="360" w:lineRule="auto"/>
        <w:jc w:val="both"/>
        <w:rPr>
          <w:rFonts w:ascii="Times New Roman" w:hAnsi="Times New Roman" w:cs="Times New Roman"/>
          <w:lang w:val="en-US"/>
        </w:rPr>
      </w:pPr>
      <w:r w:rsidRPr="006D6AC1">
        <w:rPr>
          <w:rFonts w:ascii="Times New Roman" w:hAnsi="Times New Roman" w:cs="Times New Roman"/>
          <w:b/>
          <w:lang w:val="en-US"/>
        </w:rPr>
        <w:t xml:space="preserve">Supplemental Figure 1. Comparison of </w:t>
      </w:r>
      <w:proofErr w:type="spellStart"/>
      <w:r w:rsidRPr="006D6AC1">
        <w:rPr>
          <w:rFonts w:ascii="Times New Roman" w:hAnsi="Times New Roman" w:cs="Times New Roman"/>
          <w:b/>
          <w:lang w:val="en-US"/>
        </w:rPr>
        <w:t>SdY</w:t>
      </w:r>
      <w:proofErr w:type="spellEnd"/>
      <w:r w:rsidRPr="006D6AC1">
        <w:rPr>
          <w:rFonts w:ascii="Times New Roman" w:hAnsi="Times New Roman" w:cs="Times New Roman"/>
          <w:b/>
          <w:lang w:val="en-US"/>
        </w:rPr>
        <w:t xml:space="preserve"> wild type and SdY</w:t>
      </w:r>
      <w:r>
        <w:rPr>
          <w:rFonts w:ascii="Times New Roman" w:hAnsi="Times New Roman" w:cs="Times New Roman"/>
          <w:b/>
          <w:lang w:val="en-US"/>
        </w:rPr>
        <w:t>-</w:t>
      </w:r>
      <w:r w:rsidRPr="006D6AC1">
        <w:rPr>
          <w:rFonts w:ascii="Times New Roman" w:hAnsi="Times New Roman" w:cs="Times New Roman"/>
          <w:b/>
          <w:lang w:val="en-US"/>
        </w:rPr>
        <w:t xml:space="preserve">I183N effect on Nr5a1/Foxl2 induced </w:t>
      </w:r>
      <w:r w:rsidRPr="006D6AC1">
        <w:rPr>
          <w:rFonts w:ascii="Times New Roman" w:hAnsi="Times New Roman" w:cs="Times New Roman"/>
          <w:b/>
          <w:i/>
          <w:lang w:val="en-US"/>
        </w:rPr>
        <w:t>cyp19a1a</w:t>
      </w:r>
      <w:r w:rsidRPr="006D6AC1">
        <w:rPr>
          <w:rFonts w:ascii="Times New Roman" w:hAnsi="Times New Roman" w:cs="Times New Roman"/>
          <w:b/>
          <w:lang w:val="en-US"/>
        </w:rPr>
        <w:t xml:space="preserve"> promoter.</w:t>
      </w:r>
      <w:r w:rsidRPr="006D6AC1">
        <w:rPr>
          <w:rFonts w:ascii="Times New Roman" w:hAnsi="Times New Roman" w:cs="Times New Roman"/>
          <w:lang w:val="en-US"/>
        </w:rPr>
        <w:t xml:space="preserve">  Data obtained in Figure 5 were compared with data from </w:t>
      </w:r>
      <w:r w:rsidRPr="006D6AC1">
        <w:rPr>
          <w:rFonts w:ascii="Times New Roman" w:hAnsi="Times New Roman" w:cs="Times New Roman"/>
          <w:lang w:val="en-US"/>
        </w:rPr>
        <w:fldChar w:fldCharType="begin"/>
      </w:r>
      <w:r>
        <w:rPr>
          <w:rFonts w:ascii="Times New Roman" w:hAnsi="Times New Roman" w:cs="Times New Roman"/>
          <w:lang w:val="en-US"/>
        </w:rPr>
        <w:instrText xml:space="preserve"> ADDIN ZOTERO_ITEM CSL_CITATION {"citationID":"fSwB11P7","properties":{"formattedCitation":"(Bertho {\\i{}et al.} 2018)","plainCitation":"(Bertho et al. 2018)","noteIndex":0},"citationItems":[{"id":"4yohCfCS/b1z33knM","uris":["http://zotero.org/users/local/Zy8ImVmk/items/8VE3UNRQ"],"uri":["http://zotero.org/users/local/Zy8ImVmk/items/8VE3UNRQ"],"itemData":{"id":"3qlt0SGW/NexUjZm3","type":"article-journal","abstract":"Evolutionary novelties require rewiring of transcriptional networks and/or the evolution of new gene functions. Sex determination (SD), one of the most plastic evolutionary processes, requires such novelties. Studies on the evolution of vertebrate SD revealed that new master SD genes are generally recruited from genes involved in the downstream SD regulatory genetic network. Only a single exception to this rule is currently known in vertebrates: the intriguing case of the salmonid master SD gene (sdY), which arose from duplication of an immune-related gene. This exception immediately posed the question of how a gene outside from the classical sex differentiation cascade could acquire its function as a male SD gene. Here we show that SdY became integrated in the classical vertebrate sex differentiation cascade by interacting with the Forkhead box domain of the female-determining transcription factor, Foxl2. In the presence of Foxl2, SdY is translocated to the nucleus where the SdY:Foxl2 complex prevents activation of the aromatase (cyp19a1a) promoter in cooperation with Nr5a1 (Sf1). Hence, by blocking a positive loop of regulation needed for the synthesis of estrogens in the early differentiating gonad, SdY disrupts a preset female differentiation pathway, consequently allowing testicular differentiation to proceed. These results also suggest that the evolution of unusual vertebrate master sex determination genes recruited from outside the classical pathway like sdY is strongly constrained by their ability to interact with the canonical gonadal differentiation pathway.","container-title":"Proceedings of the National Academy of Sciences of the United States of America","DOI":"10.1073/pnas.1803826115","ISSN":"1091-6490","journalAbbreviation":"Proc. Natl. Acad. Sci. U.S.A.","language":"eng","note":"PMID: 30463951","source":"PubMed","title":"The unusual rainbow trout sex determination gene hijacked the canonical vertebrate gonadal differentiation pathway","author":[{"family":"Bertho","given":"Sylvain"},{"family":"Herpin","given":"Amaury"},{"family":"Branthonne","given":"Adèle"},{"family":"Jouanno","given":"Elodie"},{"family":"Yano","given":"Ayaka"},{"family":"Nicol","given":"Barbara"},{"family":"Muller","given":"Thomas"},{"family":"Pannetier","given":"Maëlle"},{"family":"Pailhoux","given":"Eric"},{"family":"Miwa","given":"Misako"},{"family":"Yoshizaki","given":"Goro"},{"family":"Schartl","given":"Manfred"},{"family":"Guiguen","given":"Yann"}],"issued":{"date-parts":[["2018",11,21]]}}}],"schema":"https://github.com/citation-style-language/schema/raw/master/csl-citation.json"} </w:instrText>
      </w:r>
      <w:r w:rsidRPr="006D6AC1">
        <w:rPr>
          <w:rFonts w:ascii="Times New Roman" w:hAnsi="Times New Roman" w:cs="Times New Roman"/>
          <w:lang w:val="en-US"/>
        </w:rPr>
        <w:fldChar w:fldCharType="separate"/>
      </w:r>
      <w:r w:rsidRPr="006D6AC1">
        <w:rPr>
          <w:rFonts w:ascii="Times New Roman" w:hAnsi="Times New Roman" w:cs="Times New Roman"/>
          <w:lang w:val="en-US"/>
        </w:rPr>
        <w:t>(</w:t>
      </w:r>
      <w:proofErr w:type="spellStart"/>
      <w:r w:rsidRPr="006D6AC1">
        <w:rPr>
          <w:rFonts w:ascii="Times New Roman" w:hAnsi="Times New Roman" w:cs="Times New Roman"/>
          <w:lang w:val="en-US"/>
        </w:rPr>
        <w:t>Bertho</w:t>
      </w:r>
      <w:proofErr w:type="spellEnd"/>
      <w:r w:rsidRPr="006D6AC1">
        <w:rPr>
          <w:rFonts w:ascii="Times New Roman" w:hAnsi="Times New Roman" w:cs="Times New Roman"/>
          <w:lang w:val="en-US"/>
        </w:rPr>
        <w:t xml:space="preserve"> </w:t>
      </w:r>
      <w:r w:rsidRPr="006D6AC1">
        <w:rPr>
          <w:rFonts w:ascii="Times New Roman" w:hAnsi="Times New Roman" w:cs="Times New Roman"/>
          <w:i/>
          <w:iCs/>
          <w:lang w:val="en-US"/>
        </w:rPr>
        <w:t>et al.</w:t>
      </w:r>
      <w:r w:rsidRPr="006D6AC1">
        <w:rPr>
          <w:rFonts w:ascii="Times New Roman" w:hAnsi="Times New Roman" w:cs="Times New Roman"/>
          <w:lang w:val="en-US"/>
        </w:rPr>
        <w:t xml:space="preserve"> 2018)</w:t>
      </w:r>
      <w:r w:rsidRPr="006D6AC1">
        <w:rPr>
          <w:rFonts w:ascii="Times New Roman" w:hAnsi="Times New Roman" w:cs="Times New Roman"/>
          <w:lang w:val="en-US"/>
        </w:rPr>
        <w:fldChar w:fldCharType="end"/>
      </w:r>
      <w:r w:rsidRPr="006D6AC1">
        <w:rPr>
          <w:rFonts w:ascii="Times New Roman" w:hAnsi="Times New Roman" w:cs="Times New Roman"/>
          <w:lang w:val="en-US"/>
        </w:rPr>
        <w:t xml:space="preserve">. Statistical significances of activity changes between Foxl2 (200 ng) / Nr5a1 (100 ng)/ </w:t>
      </w:r>
      <w:proofErr w:type="spellStart"/>
      <w:r w:rsidRPr="006D6AC1">
        <w:rPr>
          <w:rFonts w:ascii="Times New Roman" w:hAnsi="Times New Roman" w:cs="Times New Roman"/>
          <w:lang w:val="en-US"/>
        </w:rPr>
        <w:t>SdY</w:t>
      </w:r>
      <w:proofErr w:type="spellEnd"/>
      <w:r w:rsidRPr="006D6AC1">
        <w:rPr>
          <w:rFonts w:ascii="Times New Roman" w:hAnsi="Times New Roman" w:cs="Times New Roman"/>
          <w:lang w:val="en-US"/>
        </w:rPr>
        <w:t xml:space="preserve"> (25 to 300 ng) and Foxl2 (200 ng) / Nr5a1 (100 ng)/ SdY</w:t>
      </w:r>
      <w:r>
        <w:rPr>
          <w:rFonts w:ascii="Times New Roman" w:hAnsi="Times New Roman" w:cs="Times New Roman"/>
          <w:lang w:val="en-US"/>
        </w:rPr>
        <w:t>-</w:t>
      </w:r>
      <w:r w:rsidRPr="006D6AC1">
        <w:rPr>
          <w:rFonts w:ascii="Times New Roman" w:hAnsi="Times New Roman" w:cs="Times New Roman"/>
          <w:lang w:val="en-US"/>
        </w:rPr>
        <w:t>I183N (25 to 300 ng) (two-</w:t>
      </w:r>
      <w:proofErr w:type="spellStart"/>
      <w:proofErr w:type="gramStart"/>
      <w:r w:rsidRPr="006D6AC1">
        <w:rPr>
          <w:rFonts w:ascii="Times New Roman" w:hAnsi="Times New Roman" w:cs="Times New Roman"/>
          <w:lang w:val="en-US"/>
        </w:rPr>
        <w:t>sided,Student’s</w:t>
      </w:r>
      <w:proofErr w:type="spellEnd"/>
      <w:proofErr w:type="gramEnd"/>
      <w:r w:rsidRPr="006D6AC1">
        <w:rPr>
          <w:rFonts w:ascii="Times New Roman" w:hAnsi="Times New Roman" w:cs="Times New Roman"/>
          <w:lang w:val="en-US"/>
        </w:rPr>
        <w:t xml:space="preserve"> </w:t>
      </w:r>
      <w:r w:rsidRPr="006D6AC1">
        <w:rPr>
          <w:rFonts w:ascii="Times New Roman" w:hAnsi="Times New Roman" w:cs="Times New Roman"/>
          <w:i/>
          <w:iCs/>
          <w:lang w:val="en-US"/>
        </w:rPr>
        <w:t>t</w:t>
      </w:r>
      <w:r w:rsidRPr="006D6AC1">
        <w:rPr>
          <w:rFonts w:ascii="Times New Roman" w:hAnsi="Times New Roman" w:cs="Times New Roman"/>
          <w:lang w:val="en-US"/>
        </w:rPr>
        <w:t>-test) are shown by asterisks, p&lt;0.05 (*); p&lt;0.001 (***).</w:t>
      </w:r>
    </w:p>
    <w:p w14:paraId="697ED83B" w14:textId="77777777" w:rsidR="00C56C17" w:rsidRPr="00756708" w:rsidRDefault="00C56C17" w:rsidP="00C56C17">
      <w:pPr>
        <w:spacing w:line="360" w:lineRule="auto"/>
        <w:rPr>
          <w:rFonts w:ascii="Times New Roman" w:hAnsi="Times New Roman" w:cs="Times New Roman"/>
          <w:sz w:val="24"/>
          <w:szCs w:val="24"/>
          <w:lang w:val="en-US"/>
        </w:rPr>
      </w:pPr>
      <w:r w:rsidRPr="006D6AC1">
        <w:rPr>
          <w:rFonts w:ascii="Times New Roman" w:hAnsi="Times New Roman" w:cs="Times New Roman"/>
          <w:b/>
          <w:bCs/>
          <w:sz w:val="24"/>
          <w:szCs w:val="24"/>
          <w:lang w:val="en-US"/>
        </w:rPr>
        <w:t>Supplementary Table 1.</w:t>
      </w:r>
      <w:r w:rsidRPr="006D6AC1">
        <w:rPr>
          <w:rFonts w:ascii="Times New Roman" w:hAnsi="Times New Roman" w:cs="Times New Roman"/>
          <w:sz w:val="24"/>
          <w:szCs w:val="24"/>
          <w:lang w:val="en-US"/>
        </w:rPr>
        <w:t xml:space="preserve"> Genotype/phenotype ratios based on PCR assay of exon 2, intron 2 and exon 3 for </w:t>
      </w:r>
      <w:proofErr w:type="spellStart"/>
      <w:r w:rsidRPr="006D6AC1">
        <w:rPr>
          <w:rFonts w:ascii="Times New Roman" w:hAnsi="Times New Roman" w:cs="Times New Roman"/>
          <w:i/>
          <w:iCs/>
          <w:sz w:val="24"/>
          <w:szCs w:val="24"/>
          <w:lang w:val="en-US"/>
        </w:rPr>
        <w:t>sdY</w:t>
      </w:r>
      <w:proofErr w:type="spellEnd"/>
      <w:r w:rsidRPr="006D6AC1">
        <w:rPr>
          <w:rFonts w:ascii="Times New Roman" w:hAnsi="Times New Roman" w:cs="Times New Roman"/>
          <w:i/>
          <w:iCs/>
          <w:sz w:val="24"/>
          <w:szCs w:val="24"/>
          <w:lang w:val="en-US"/>
        </w:rPr>
        <w:t xml:space="preserve"> </w:t>
      </w:r>
      <w:r w:rsidRPr="006D6AC1">
        <w:rPr>
          <w:rFonts w:ascii="Times New Roman" w:hAnsi="Times New Roman" w:cs="Times New Roman"/>
          <w:i/>
          <w:iCs/>
          <w:sz w:val="24"/>
          <w:szCs w:val="24"/>
          <w:lang w:val="en-US"/>
        </w:rPr>
        <w:softHyphen/>
      </w:r>
      <w:r w:rsidRPr="006D6AC1">
        <w:rPr>
          <w:rFonts w:ascii="Times New Roman" w:hAnsi="Times New Roman" w:cs="Times New Roman"/>
          <w:sz w:val="24"/>
          <w:szCs w:val="24"/>
          <w:lang w:val="en-US"/>
        </w:rPr>
        <w:t>amplification in male and female from three crosses normal family 84 x B; XY family 126xD; XY family 118xC.</w:t>
      </w:r>
    </w:p>
    <w:p w14:paraId="75E9A762" w14:textId="77777777" w:rsidR="00DC1EE1" w:rsidRDefault="00C56C17"/>
    <w:sectPr w:rsidR="00DC1EE1" w:rsidSect="00B07330">
      <w:headerReference w:type="default" r:id="rId4"/>
      <w:footerReference w:type="even" r:id="rId5"/>
      <w:footerReference w:type="default" r:id="rId6"/>
      <w:pgSz w:w="11906" w:h="16838"/>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022453"/>
      <w:docPartObj>
        <w:docPartGallery w:val="Page Numbers (Bottom of Page)"/>
        <w:docPartUnique/>
      </w:docPartObj>
    </w:sdtPr>
    <w:sdtEndPr>
      <w:rPr>
        <w:rStyle w:val="PageNumber"/>
      </w:rPr>
    </w:sdtEndPr>
    <w:sdtContent>
      <w:p w14:paraId="0293E2CC" w14:textId="77777777" w:rsidR="00EA0F0A" w:rsidRDefault="00C56C17" w:rsidP="00574E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06B6C" w14:textId="77777777" w:rsidR="00EA0F0A" w:rsidRDefault="00C56C17" w:rsidP="00B073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4094406"/>
      <w:docPartObj>
        <w:docPartGallery w:val="Page Numbers (Bottom of Page)"/>
        <w:docPartUnique/>
      </w:docPartObj>
    </w:sdtPr>
    <w:sdtEndPr>
      <w:rPr>
        <w:rStyle w:val="PageNumber"/>
      </w:rPr>
    </w:sdtEndPr>
    <w:sdtContent>
      <w:p w14:paraId="6100C973" w14:textId="77777777" w:rsidR="00EA0F0A" w:rsidRDefault="00C56C17" w:rsidP="00574E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3D21BB" w14:textId="77777777" w:rsidR="00EA0F0A" w:rsidRDefault="00C56C17" w:rsidP="00B07330">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35A3" w14:textId="77777777" w:rsidR="00EA0F0A" w:rsidRDefault="00C56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17"/>
    <w:rsid w:val="0052048A"/>
    <w:rsid w:val="00C56C17"/>
    <w:rsid w:val="00FA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66B9"/>
  <w15:chartTrackingRefBased/>
  <w15:docId w15:val="{13EC9E10-BB36-4D9D-84AC-BFFA19DE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17"/>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C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6C17"/>
    <w:rPr>
      <w:lang w:val="fr-FR"/>
    </w:rPr>
  </w:style>
  <w:style w:type="paragraph" w:styleId="Footer">
    <w:name w:val="footer"/>
    <w:basedOn w:val="Normal"/>
    <w:link w:val="FooterChar"/>
    <w:uiPriority w:val="99"/>
    <w:unhideWhenUsed/>
    <w:rsid w:val="00C56C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6C17"/>
    <w:rPr>
      <w:lang w:val="fr-FR"/>
    </w:rPr>
  </w:style>
  <w:style w:type="character" w:styleId="PageNumber">
    <w:name w:val="page number"/>
    <w:basedOn w:val="DefaultParagraphFont"/>
    <w:uiPriority w:val="99"/>
    <w:semiHidden/>
    <w:unhideWhenUsed/>
    <w:rsid w:val="00C56C17"/>
  </w:style>
  <w:style w:type="character" w:styleId="LineNumber">
    <w:name w:val="line number"/>
    <w:basedOn w:val="DefaultParagraphFont"/>
    <w:uiPriority w:val="99"/>
    <w:semiHidden/>
    <w:unhideWhenUsed/>
    <w:rsid w:val="00C5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Lyles</dc:creator>
  <cp:keywords/>
  <dc:description/>
  <cp:lastModifiedBy>Matthew Lyles</cp:lastModifiedBy>
  <cp:revision>1</cp:revision>
  <dcterms:created xsi:type="dcterms:W3CDTF">2021-12-29T13:16:00Z</dcterms:created>
  <dcterms:modified xsi:type="dcterms:W3CDTF">2021-12-29T13:16:00Z</dcterms:modified>
</cp:coreProperties>
</file>