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1D5F" w14:textId="347D2C6D" w:rsidR="00612A57" w:rsidRPr="00612A57" w:rsidRDefault="00612A57" w:rsidP="00612A57">
      <w:pPr>
        <w:spacing w:line="480" w:lineRule="auto"/>
        <w:jc w:val="center"/>
        <w:rPr>
          <w:rFonts w:cstheme="minorHAnsi"/>
          <w:b/>
          <w:bCs/>
        </w:rPr>
      </w:pPr>
      <w:r w:rsidRPr="00612A57">
        <w:rPr>
          <w:rFonts w:cstheme="minorHAnsi"/>
          <w:b/>
          <w:bCs/>
          <w:sz w:val="28"/>
          <w:szCs w:val="28"/>
        </w:rPr>
        <w:t>Supplemental Material</w:t>
      </w:r>
    </w:p>
    <w:p w14:paraId="5414EA79" w14:textId="77777777" w:rsidR="00612A57" w:rsidRPr="00612A57" w:rsidRDefault="00612A57" w:rsidP="00612A57">
      <w:pPr>
        <w:pStyle w:val="Title"/>
        <w:spacing w:line="480" w:lineRule="auto"/>
        <w:rPr>
          <w:rFonts w:asciiTheme="minorHAnsi" w:hAnsiTheme="minorHAnsi" w:cstheme="minorHAnsi"/>
          <w:bCs/>
          <w:sz w:val="28"/>
          <w:szCs w:val="28"/>
        </w:rPr>
      </w:pPr>
      <w:r w:rsidRPr="00612A57">
        <w:rPr>
          <w:rFonts w:asciiTheme="minorHAnsi" w:hAnsiTheme="minorHAnsi" w:cstheme="minorHAnsi"/>
          <w:bCs/>
          <w:sz w:val="28"/>
          <w:szCs w:val="28"/>
        </w:rPr>
        <w:t xml:space="preserve">Environment-Specific Genomic Prediction Ability in Maize Using Environmental Covariates Depends on Environmental Similarity </w:t>
      </w:r>
      <w:proofErr w:type="gramStart"/>
      <w:r w:rsidRPr="00612A57">
        <w:rPr>
          <w:rFonts w:asciiTheme="minorHAnsi" w:hAnsiTheme="minorHAnsi" w:cstheme="minorHAnsi"/>
          <w:bCs/>
          <w:sz w:val="28"/>
          <w:szCs w:val="28"/>
        </w:rPr>
        <w:t>To</w:t>
      </w:r>
      <w:proofErr w:type="gramEnd"/>
      <w:r w:rsidRPr="00612A57">
        <w:rPr>
          <w:rFonts w:asciiTheme="minorHAnsi" w:hAnsiTheme="minorHAnsi" w:cstheme="minorHAnsi"/>
          <w:bCs/>
          <w:sz w:val="28"/>
          <w:szCs w:val="28"/>
        </w:rPr>
        <w:t xml:space="preserve"> Training Data</w:t>
      </w:r>
    </w:p>
    <w:p w14:paraId="229C2114" w14:textId="61B6EDA3" w:rsidR="00612A57" w:rsidRDefault="00612A57" w:rsidP="00612A57">
      <w:pPr>
        <w:spacing w:line="480" w:lineRule="auto"/>
      </w:pPr>
    </w:p>
    <w:p w14:paraId="41C76CB8" w14:textId="17E43F5C" w:rsidR="00612A57" w:rsidRDefault="00612A57" w:rsidP="00612A57">
      <w:pPr>
        <w:spacing w:line="480" w:lineRule="auto"/>
      </w:pPr>
      <w:r>
        <w:t>Anna R. Rogers and James B. Holland</w:t>
      </w:r>
    </w:p>
    <w:p w14:paraId="2A5F733B" w14:textId="48B14FB0" w:rsidR="00612A57" w:rsidRDefault="00612A57">
      <w:r>
        <w:br w:type="page"/>
      </w:r>
    </w:p>
    <w:p w14:paraId="156DFE05" w14:textId="77777777" w:rsidR="00612A57" w:rsidRDefault="00612A57" w:rsidP="00612A57">
      <w:r>
        <w:rPr>
          <w:noProof/>
        </w:rPr>
        <w:lastRenderedPageBreak/>
        <w:drawing>
          <wp:inline distT="0" distB="0" distL="0" distR="0" wp14:anchorId="74797915" wp14:editId="7326FEF5">
            <wp:extent cx="6555179" cy="4916384"/>
            <wp:effectExtent l="0" t="0" r="0" b="0"/>
            <wp:docPr id="9" name="Picture 9" descr="Histo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istogram&#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63087" cy="4922315"/>
                    </a:xfrm>
                    <a:prstGeom prst="rect">
                      <a:avLst/>
                    </a:prstGeom>
                  </pic:spPr>
                </pic:pic>
              </a:graphicData>
            </a:graphic>
          </wp:inline>
        </w:drawing>
      </w:r>
    </w:p>
    <w:p w14:paraId="37B6D1F2" w14:textId="77777777" w:rsidR="00612A57" w:rsidRDefault="00612A57" w:rsidP="00612A57">
      <w:pPr>
        <w:spacing w:line="480" w:lineRule="auto"/>
        <w:jc w:val="both"/>
      </w:pPr>
      <w:r w:rsidRPr="009D6C07">
        <w:rPr>
          <w:b/>
        </w:rPr>
        <w:t xml:space="preserve">Figure </w:t>
      </w:r>
      <w:r>
        <w:rPr>
          <w:b/>
        </w:rPr>
        <w:t>S1</w:t>
      </w:r>
      <w:r w:rsidRPr="009D6C07">
        <w:rPr>
          <w:b/>
        </w:rPr>
        <w:t>.</w:t>
      </w:r>
      <w:r>
        <w:t xml:space="preserve"> Increase in prediction ability within environments by adding G</w:t>
      </w:r>
      <w:r>
        <w:rPr>
          <w:rFonts w:cstheme="minorHAnsi"/>
        </w:rPr>
        <w:t>×</w:t>
      </w:r>
      <w:r>
        <w:t xml:space="preserve">E effects using the PCA(Markers)* Env </w:t>
      </w:r>
      <w:proofErr w:type="spellStart"/>
      <w:r>
        <w:t>GxE</w:t>
      </w:r>
      <w:proofErr w:type="spellEnd"/>
      <w:r>
        <w:t xml:space="preserve"> term to a model with 10,154 marker dominance coefficients and 5-day window weather variable summaries. Prediction abilities are compared within training sets including 40% to 90% of the full data set, sampled at random. </w:t>
      </w:r>
    </w:p>
    <w:p w14:paraId="7BA0F95E" w14:textId="77777777" w:rsidR="00612A57" w:rsidRDefault="00612A57" w:rsidP="00612A57">
      <w:r>
        <w:br w:type="page"/>
      </w:r>
    </w:p>
    <w:p w14:paraId="698B7DC9" w14:textId="77777777" w:rsidR="00612A57" w:rsidRDefault="00612A57" w:rsidP="00612A57">
      <w:pPr>
        <w:spacing w:line="480" w:lineRule="auto"/>
        <w:jc w:val="both"/>
      </w:pPr>
      <w:r>
        <w:rPr>
          <w:noProof/>
        </w:rPr>
        <w:lastRenderedPageBreak/>
        <w:drawing>
          <wp:inline distT="0" distB="0" distL="0" distR="0" wp14:anchorId="3A0FDF3C" wp14:editId="0DF3DFBC">
            <wp:extent cx="5943600" cy="3169920"/>
            <wp:effectExtent l="0" t="0" r="0"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69920"/>
                    </a:xfrm>
                    <a:prstGeom prst="rect">
                      <a:avLst/>
                    </a:prstGeom>
                  </pic:spPr>
                </pic:pic>
              </a:graphicData>
            </a:graphic>
          </wp:inline>
        </w:drawing>
      </w:r>
    </w:p>
    <w:p w14:paraId="276584ED" w14:textId="77777777" w:rsidR="00612A57" w:rsidRDefault="00612A57" w:rsidP="00612A57">
      <w:pPr>
        <w:spacing w:line="480" w:lineRule="auto"/>
        <w:jc w:val="both"/>
      </w:pPr>
      <w:r w:rsidRPr="009D6C07">
        <w:rPr>
          <w:b/>
        </w:rPr>
        <w:t xml:space="preserve">Figure </w:t>
      </w:r>
      <w:r>
        <w:rPr>
          <w:b/>
        </w:rPr>
        <w:t>S2</w:t>
      </w:r>
      <w:r w:rsidRPr="009D6C07">
        <w:rPr>
          <w:b/>
        </w:rPr>
        <w:t>.</w:t>
      </w:r>
      <w:r>
        <w:t xml:space="preserve"> Distributions of slopes of regression of observed values on predicted values within each environment and test set for models including 10,153 marker dominance coefficients and 377 environmental covariates, along with no G</w:t>
      </w:r>
      <w:r>
        <w:rPr>
          <w:rFonts w:cstheme="minorHAnsi"/>
        </w:rPr>
        <w:t>×</w:t>
      </w:r>
      <w:r>
        <w:t>E effects or G</w:t>
      </w:r>
      <w:r>
        <w:rPr>
          <w:rFonts w:cstheme="minorHAnsi"/>
        </w:rPr>
        <w:t>×</w:t>
      </w:r>
      <w:r>
        <w:t>E effects computed using principal components of the environmental data (PCA(Env)*Markers) or using principal components of the marker data (PCA(Markers)*Env). Each model was evaluated in test sets selected by random sampling (CV1), partial replication across environments (CV2), leaving out a single year of data (LO1Y), stratification by environment clusters (LORE), by hybrid clusters (LORH), leaving out single environments (LO1E), and bidirectional censoring schemes leaving out both a year and 10% of hybrids (CV1 + LO1Y), a year and related hybrids (LORH + LO1Y), environment clusters with 10% of hybrids (CV1 + LORE), and environment and hybrid clusters (LORH + LORE).</w:t>
      </w:r>
    </w:p>
    <w:p w14:paraId="7CA94A11" w14:textId="77777777" w:rsidR="00612A57" w:rsidRDefault="00612A57" w:rsidP="00612A57">
      <w:pPr>
        <w:spacing w:line="480" w:lineRule="auto"/>
        <w:jc w:val="both"/>
      </w:pPr>
    </w:p>
    <w:p w14:paraId="058B6371" w14:textId="77777777" w:rsidR="00612A57" w:rsidRDefault="00612A57" w:rsidP="00612A57">
      <w:r>
        <w:br w:type="page"/>
      </w:r>
    </w:p>
    <w:p w14:paraId="4F72A3DE" w14:textId="77777777" w:rsidR="00612A57" w:rsidRDefault="00612A57" w:rsidP="00612A57">
      <w:pPr>
        <w:spacing w:before="120" w:line="480" w:lineRule="auto"/>
      </w:pPr>
      <w:r w:rsidRPr="00BC6F8F">
        <w:rPr>
          <w:b/>
        </w:rPr>
        <w:lastRenderedPageBreak/>
        <w:t>Table S1.</w:t>
      </w:r>
      <w:r>
        <w:t xml:space="preserve"> Descriptions of soil parameters taken from SSURGO metadata column descriptions</w:t>
      </w:r>
    </w:p>
    <w:tbl>
      <w:tblPr>
        <w:tblStyle w:val="TableGrid"/>
        <w:tblW w:w="9985" w:type="dxa"/>
        <w:tblLook w:val="04A0" w:firstRow="1" w:lastRow="0" w:firstColumn="1" w:lastColumn="0" w:noHBand="0" w:noVBand="1"/>
      </w:tblPr>
      <w:tblGrid>
        <w:gridCol w:w="1451"/>
        <w:gridCol w:w="8534"/>
      </w:tblGrid>
      <w:tr w:rsidR="00612A57" w:rsidRPr="002D06AF" w14:paraId="10C3EF4C" w14:textId="77777777" w:rsidTr="000708DB">
        <w:trPr>
          <w:trHeight w:val="300"/>
        </w:trPr>
        <w:tc>
          <w:tcPr>
            <w:tcW w:w="1451" w:type="dxa"/>
            <w:noWrap/>
            <w:hideMark/>
          </w:tcPr>
          <w:p w14:paraId="7C054FDD" w14:textId="77777777" w:rsidR="00612A57" w:rsidRPr="002D06AF" w:rsidRDefault="00612A57" w:rsidP="000708DB">
            <w:pPr>
              <w:rPr>
                <w:b/>
              </w:rPr>
            </w:pPr>
            <w:bookmarkStart w:id="0" w:name="_Hlk75790575"/>
            <w:r w:rsidRPr="002D06AF">
              <w:rPr>
                <w:b/>
              </w:rPr>
              <w:t>Parameter</w:t>
            </w:r>
          </w:p>
        </w:tc>
        <w:tc>
          <w:tcPr>
            <w:tcW w:w="8534" w:type="dxa"/>
          </w:tcPr>
          <w:p w14:paraId="72D5D7C7" w14:textId="77777777" w:rsidR="00612A57" w:rsidRPr="002D06AF" w:rsidRDefault="00612A57" w:rsidP="000708DB">
            <w:pPr>
              <w:rPr>
                <w:b/>
              </w:rPr>
            </w:pPr>
            <w:r w:rsidRPr="002D06AF">
              <w:rPr>
                <w:b/>
              </w:rPr>
              <w:t>Description</w:t>
            </w:r>
          </w:p>
        </w:tc>
      </w:tr>
      <w:tr w:rsidR="00612A57" w:rsidRPr="002D06AF" w14:paraId="2CA705D7" w14:textId="77777777" w:rsidTr="000708DB">
        <w:trPr>
          <w:trHeight w:val="300"/>
        </w:trPr>
        <w:tc>
          <w:tcPr>
            <w:tcW w:w="1451" w:type="dxa"/>
            <w:noWrap/>
            <w:hideMark/>
          </w:tcPr>
          <w:p w14:paraId="47BFEFC8" w14:textId="77777777" w:rsidR="00612A57" w:rsidRPr="002D06AF" w:rsidRDefault="00612A57" w:rsidP="000708DB">
            <w:proofErr w:type="spellStart"/>
            <w:r w:rsidRPr="002D06AF">
              <w:t>slope_r</w:t>
            </w:r>
            <w:proofErr w:type="spellEnd"/>
          </w:p>
        </w:tc>
        <w:tc>
          <w:tcPr>
            <w:tcW w:w="8534" w:type="dxa"/>
          </w:tcPr>
          <w:p w14:paraId="295E95D6" w14:textId="77777777" w:rsidR="00612A57" w:rsidRPr="002D06AF" w:rsidRDefault="00612A57" w:rsidP="000708DB">
            <w:r>
              <w:t>Slope gradient of field</w:t>
            </w:r>
          </w:p>
        </w:tc>
      </w:tr>
      <w:tr w:rsidR="00612A57" w:rsidRPr="002D06AF" w14:paraId="693FB042" w14:textId="77777777" w:rsidTr="000708DB">
        <w:trPr>
          <w:trHeight w:val="300"/>
        </w:trPr>
        <w:tc>
          <w:tcPr>
            <w:tcW w:w="1451" w:type="dxa"/>
            <w:noWrap/>
            <w:hideMark/>
          </w:tcPr>
          <w:p w14:paraId="1E97CD71" w14:textId="77777777" w:rsidR="00612A57" w:rsidRPr="002D06AF" w:rsidRDefault="00612A57" w:rsidP="000708DB">
            <w:proofErr w:type="spellStart"/>
            <w:r w:rsidRPr="002D06AF">
              <w:t>tfact</w:t>
            </w:r>
            <w:proofErr w:type="spellEnd"/>
          </w:p>
        </w:tc>
        <w:tc>
          <w:tcPr>
            <w:tcW w:w="8534" w:type="dxa"/>
          </w:tcPr>
          <w:p w14:paraId="40B134B4" w14:textId="77777777" w:rsidR="00612A57" w:rsidRPr="002D06AF" w:rsidRDefault="00612A57" w:rsidP="000708DB">
            <w:r>
              <w:t>Soil loss tolerance factor, denoting the maximum amount of erosion where the soil can be considered a medium for plant growth</w:t>
            </w:r>
          </w:p>
        </w:tc>
      </w:tr>
      <w:tr w:rsidR="00612A57" w:rsidRPr="002D06AF" w14:paraId="4279C4E5" w14:textId="77777777" w:rsidTr="000708DB">
        <w:trPr>
          <w:trHeight w:val="300"/>
        </w:trPr>
        <w:tc>
          <w:tcPr>
            <w:tcW w:w="1451" w:type="dxa"/>
            <w:noWrap/>
            <w:hideMark/>
          </w:tcPr>
          <w:p w14:paraId="4B59D022" w14:textId="77777777" w:rsidR="00612A57" w:rsidRPr="002D06AF" w:rsidRDefault="00612A57" w:rsidP="000708DB">
            <w:r w:rsidRPr="002D06AF">
              <w:t>sieveno40_r</w:t>
            </w:r>
          </w:p>
        </w:tc>
        <w:tc>
          <w:tcPr>
            <w:tcW w:w="8534" w:type="dxa"/>
          </w:tcPr>
          <w:p w14:paraId="4F92815E" w14:textId="77777777" w:rsidR="00612A57" w:rsidRPr="002D06AF" w:rsidRDefault="00612A57" w:rsidP="000708DB">
            <w:r>
              <w:t>Fraction of soil that passes through a number 40 sieve (0.42 mm square opening)</w:t>
            </w:r>
          </w:p>
        </w:tc>
      </w:tr>
      <w:tr w:rsidR="00612A57" w:rsidRPr="002D06AF" w14:paraId="37090EA5" w14:textId="77777777" w:rsidTr="000708DB">
        <w:trPr>
          <w:trHeight w:val="300"/>
        </w:trPr>
        <w:tc>
          <w:tcPr>
            <w:tcW w:w="1451" w:type="dxa"/>
            <w:noWrap/>
            <w:hideMark/>
          </w:tcPr>
          <w:p w14:paraId="5483658C" w14:textId="77777777" w:rsidR="00612A57" w:rsidRPr="002D06AF" w:rsidRDefault="00612A57" w:rsidP="000708DB">
            <w:r w:rsidRPr="002D06AF">
              <w:t>sieveno200_r</w:t>
            </w:r>
          </w:p>
        </w:tc>
        <w:tc>
          <w:tcPr>
            <w:tcW w:w="8534" w:type="dxa"/>
          </w:tcPr>
          <w:p w14:paraId="4FDB9C53" w14:textId="77777777" w:rsidR="00612A57" w:rsidRPr="002D06AF" w:rsidRDefault="00612A57" w:rsidP="000708DB">
            <w:r>
              <w:t>Fraction of soil that passes through a number 200 sieve (0.074 mm square opening)</w:t>
            </w:r>
          </w:p>
        </w:tc>
      </w:tr>
      <w:tr w:rsidR="00612A57" w:rsidRPr="002D06AF" w14:paraId="4EF58C6C" w14:textId="77777777" w:rsidTr="000708DB">
        <w:trPr>
          <w:trHeight w:val="300"/>
        </w:trPr>
        <w:tc>
          <w:tcPr>
            <w:tcW w:w="1451" w:type="dxa"/>
            <w:noWrap/>
            <w:hideMark/>
          </w:tcPr>
          <w:p w14:paraId="71839865" w14:textId="77777777" w:rsidR="00612A57" w:rsidRPr="002D06AF" w:rsidRDefault="00612A57" w:rsidP="000708DB">
            <w:proofErr w:type="spellStart"/>
            <w:r w:rsidRPr="002D06AF">
              <w:t>sandvc_r</w:t>
            </w:r>
            <w:proofErr w:type="spellEnd"/>
          </w:p>
        </w:tc>
        <w:tc>
          <w:tcPr>
            <w:tcW w:w="8534" w:type="dxa"/>
          </w:tcPr>
          <w:p w14:paraId="607A4D54" w14:textId="77777777" w:rsidR="00612A57" w:rsidRPr="002D06AF" w:rsidRDefault="00612A57" w:rsidP="000708DB">
            <w:r>
              <w:t>Percentage of very coarse sand (1.0-2.0 mm diameter) in sample</w:t>
            </w:r>
          </w:p>
        </w:tc>
      </w:tr>
      <w:tr w:rsidR="00612A57" w:rsidRPr="002D06AF" w14:paraId="3CCB0146" w14:textId="77777777" w:rsidTr="000708DB">
        <w:trPr>
          <w:trHeight w:val="300"/>
        </w:trPr>
        <w:tc>
          <w:tcPr>
            <w:tcW w:w="1451" w:type="dxa"/>
            <w:noWrap/>
            <w:hideMark/>
          </w:tcPr>
          <w:p w14:paraId="3D18DD35" w14:textId="77777777" w:rsidR="00612A57" w:rsidRPr="002D06AF" w:rsidRDefault="00612A57" w:rsidP="000708DB">
            <w:proofErr w:type="spellStart"/>
            <w:r w:rsidRPr="002D06AF">
              <w:t>sandco_r</w:t>
            </w:r>
            <w:proofErr w:type="spellEnd"/>
          </w:p>
        </w:tc>
        <w:tc>
          <w:tcPr>
            <w:tcW w:w="8534" w:type="dxa"/>
          </w:tcPr>
          <w:p w14:paraId="7DEB0926" w14:textId="77777777" w:rsidR="00612A57" w:rsidRPr="002D06AF" w:rsidRDefault="00612A57" w:rsidP="000708DB">
            <w:r>
              <w:t>Percentage of coarse sand (0.5-1.0 mm diameter) in sample</w:t>
            </w:r>
          </w:p>
        </w:tc>
      </w:tr>
      <w:tr w:rsidR="00612A57" w:rsidRPr="002D06AF" w14:paraId="099A8A6C" w14:textId="77777777" w:rsidTr="000708DB">
        <w:trPr>
          <w:trHeight w:val="300"/>
        </w:trPr>
        <w:tc>
          <w:tcPr>
            <w:tcW w:w="1451" w:type="dxa"/>
            <w:noWrap/>
            <w:hideMark/>
          </w:tcPr>
          <w:p w14:paraId="52FCA7AE" w14:textId="77777777" w:rsidR="00612A57" w:rsidRPr="002D06AF" w:rsidRDefault="00612A57" w:rsidP="000708DB">
            <w:proofErr w:type="spellStart"/>
            <w:r w:rsidRPr="002D06AF">
              <w:t>sandmed_r</w:t>
            </w:r>
            <w:proofErr w:type="spellEnd"/>
          </w:p>
        </w:tc>
        <w:tc>
          <w:tcPr>
            <w:tcW w:w="8534" w:type="dxa"/>
          </w:tcPr>
          <w:p w14:paraId="41B9A277" w14:textId="77777777" w:rsidR="00612A57" w:rsidRPr="002D06AF" w:rsidRDefault="00612A57" w:rsidP="000708DB">
            <w:r>
              <w:t>Percentage of medium sand (0.25-0.5 mm diameter) in sample</w:t>
            </w:r>
          </w:p>
        </w:tc>
      </w:tr>
      <w:tr w:rsidR="00612A57" w:rsidRPr="002D06AF" w14:paraId="4E7B9C9A" w14:textId="77777777" w:rsidTr="000708DB">
        <w:trPr>
          <w:trHeight w:val="300"/>
        </w:trPr>
        <w:tc>
          <w:tcPr>
            <w:tcW w:w="1451" w:type="dxa"/>
            <w:noWrap/>
            <w:hideMark/>
          </w:tcPr>
          <w:p w14:paraId="08BD06E3" w14:textId="77777777" w:rsidR="00612A57" w:rsidRPr="002D06AF" w:rsidRDefault="00612A57" w:rsidP="000708DB">
            <w:proofErr w:type="spellStart"/>
            <w:r w:rsidRPr="002D06AF">
              <w:t>sandfine_r</w:t>
            </w:r>
            <w:proofErr w:type="spellEnd"/>
          </w:p>
        </w:tc>
        <w:tc>
          <w:tcPr>
            <w:tcW w:w="8534" w:type="dxa"/>
          </w:tcPr>
          <w:p w14:paraId="56BDE80A" w14:textId="77777777" w:rsidR="00612A57" w:rsidRPr="002D06AF" w:rsidRDefault="00612A57" w:rsidP="000708DB">
            <w:r>
              <w:t>Percentage of fine sand (0.10-0.25 mm diameter) in sample</w:t>
            </w:r>
          </w:p>
        </w:tc>
      </w:tr>
      <w:tr w:rsidR="00612A57" w:rsidRPr="002D06AF" w14:paraId="61188DC8" w14:textId="77777777" w:rsidTr="000708DB">
        <w:trPr>
          <w:trHeight w:val="300"/>
        </w:trPr>
        <w:tc>
          <w:tcPr>
            <w:tcW w:w="1451" w:type="dxa"/>
            <w:noWrap/>
            <w:hideMark/>
          </w:tcPr>
          <w:p w14:paraId="77339908" w14:textId="77777777" w:rsidR="00612A57" w:rsidRPr="002D06AF" w:rsidRDefault="00612A57" w:rsidP="000708DB">
            <w:proofErr w:type="spellStart"/>
            <w:r w:rsidRPr="002D06AF">
              <w:t>sandvf_r</w:t>
            </w:r>
            <w:proofErr w:type="spellEnd"/>
          </w:p>
        </w:tc>
        <w:tc>
          <w:tcPr>
            <w:tcW w:w="8534" w:type="dxa"/>
          </w:tcPr>
          <w:p w14:paraId="1182C6FD" w14:textId="77777777" w:rsidR="00612A57" w:rsidRPr="002D06AF" w:rsidRDefault="00612A57" w:rsidP="000708DB">
            <w:r>
              <w:t>Percentage of very fine sane (0.05-0.10 mm diameter) in sample</w:t>
            </w:r>
          </w:p>
        </w:tc>
      </w:tr>
      <w:tr w:rsidR="00612A57" w:rsidRPr="002D06AF" w14:paraId="58B05305" w14:textId="77777777" w:rsidTr="000708DB">
        <w:trPr>
          <w:trHeight w:val="300"/>
        </w:trPr>
        <w:tc>
          <w:tcPr>
            <w:tcW w:w="1451" w:type="dxa"/>
            <w:noWrap/>
            <w:hideMark/>
          </w:tcPr>
          <w:p w14:paraId="06042281" w14:textId="77777777" w:rsidR="00612A57" w:rsidRPr="002D06AF" w:rsidRDefault="00612A57" w:rsidP="000708DB">
            <w:proofErr w:type="spellStart"/>
            <w:r w:rsidRPr="002D06AF">
              <w:t>siltco_r</w:t>
            </w:r>
            <w:proofErr w:type="spellEnd"/>
          </w:p>
        </w:tc>
        <w:tc>
          <w:tcPr>
            <w:tcW w:w="8534" w:type="dxa"/>
          </w:tcPr>
          <w:p w14:paraId="67AC511A" w14:textId="77777777" w:rsidR="00612A57" w:rsidRPr="002D06AF" w:rsidRDefault="00612A57" w:rsidP="000708DB">
            <w:r>
              <w:t>Percentage of coarse silt (0.02-0.05 mm diameter) in sample</w:t>
            </w:r>
          </w:p>
        </w:tc>
      </w:tr>
      <w:tr w:rsidR="00612A57" w:rsidRPr="002D06AF" w14:paraId="49801A01" w14:textId="77777777" w:rsidTr="000708DB">
        <w:trPr>
          <w:trHeight w:val="300"/>
        </w:trPr>
        <w:tc>
          <w:tcPr>
            <w:tcW w:w="1451" w:type="dxa"/>
            <w:noWrap/>
            <w:hideMark/>
          </w:tcPr>
          <w:p w14:paraId="7F6DDB54" w14:textId="77777777" w:rsidR="00612A57" w:rsidRPr="002D06AF" w:rsidRDefault="00612A57" w:rsidP="000708DB">
            <w:proofErr w:type="spellStart"/>
            <w:r w:rsidRPr="002D06AF">
              <w:t>siltfine_r</w:t>
            </w:r>
            <w:proofErr w:type="spellEnd"/>
          </w:p>
        </w:tc>
        <w:tc>
          <w:tcPr>
            <w:tcW w:w="8534" w:type="dxa"/>
          </w:tcPr>
          <w:p w14:paraId="348410AA" w14:textId="77777777" w:rsidR="00612A57" w:rsidRPr="002D06AF" w:rsidRDefault="00612A57" w:rsidP="000708DB">
            <w:r>
              <w:t>Percentage of fine silt (0.002-0.02 mm diameter) in sample</w:t>
            </w:r>
          </w:p>
        </w:tc>
      </w:tr>
      <w:tr w:rsidR="00612A57" w:rsidRPr="002D06AF" w14:paraId="3E705BA2" w14:textId="77777777" w:rsidTr="000708DB">
        <w:trPr>
          <w:trHeight w:val="300"/>
        </w:trPr>
        <w:tc>
          <w:tcPr>
            <w:tcW w:w="1451" w:type="dxa"/>
            <w:noWrap/>
            <w:hideMark/>
          </w:tcPr>
          <w:p w14:paraId="527286CF" w14:textId="77777777" w:rsidR="00612A57" w:rsidRPr="002D06AF" w:rsidRDefault="00612A57" w:rsidP="000708DB">
            <w:proofErr w:type="spellStart"/>
            <w:r w:rsidRPr="002D06AF">
              <w:t>claytotal_r</w:t>
            </w:r>
            <w:proofErr w:type="spellEnd"/>
          </w:p>
        </w:tc>
        <w:tc>
          <w:tcPr>
            <w:tcW w:w="8534" w:type="dxa"/>
          </w:tcPr>
          <w:p w14:paraId="0EAA8300" w14:textId="77777777" w:rsidR="00612A57" w:rsidRPr="002D06AF" w:rsidRDefault="00612A57" w:rsidP="000708DB">
            <w:r>
              <w:t>Percentage of clay (particle size &lt; 0.002 mm diameter) in sample</w:t>
            </w:r>
          </w:p>
        </w:tc>
      </w:tr>
      <w:tr w:rsidR="00612A57" w:rsidRPr="002D06AF" w14:paraId="565FBE91" w14:textId="77777777" w:rsidTr="000708DB">
        <w:trPr>
          <w:trHeight w:val="300"/>
        </w:trPr>
        <w:tc>
          <w:tcPr>
            <w:tcW w:w="1451" w:type="dxa"/>
            <w:noWrap/>
            <w:hideMark/>
          </w:tcPr>
          <w:p w14:paraId="77783E60" w14:textId="77777777" w:rsidR="00612A57" w:rsidRPr="002D06AF" w:rsidRDefault="00612A57" w:rsidP="000708DB">
            <w:proofErr w:type="spellStart"/>
            <w:r w:rsidRPr="002D06AF">
              <w:t>ksat_r</w:t>
            </w:r>
            <w:proofErr w:type="spellEnd"/>
          </w:p>
        </w:tc>
        <w:tc>
          <w:tcPr>
            <w:tcW w:w="8534" w:type="dxa"/>
          </w:tcPr>
          <w:p w14:paraId="5AFDD1A0" w14:textId="77777777" w:rsidR="00612A57" w:rsidRPr="002D06AF" w:rsidRDefault="00612A57" w:rsidP="000708DB">
            <w:r>
              <w:t>Amount of water that moves through a unit area of saturated soil in unit time</w:t>
            </w:r>
          </w:p>
        </w:tc>
      </w:tr>
      <w:tr w:rsidR="00612A57" w:rsidRPr="002D06AF" w14:paraId="0AD7F1F0" w14:textId="77777777" w:rsidTr="000708DB">
        <w:trPr>
          <w:trHeight w:val="300"/>
        </w:trPr>
        <w:tc>
          <w:tcPr>
            <w:tcW w:w="1451" w:type="dxa"/>
            <w:noWrap/>
            <w:hideMark/>
          </w:tcPr>
          <w:p w14:paraId="321E998B" w14:textId="77777777" w:rsidR="00612A57" w:rsidRPr="002D06AF" w:rsidRDefault="00612A57" w:rsidP="000708DB">
            <w:proofErr w:type="spellStart"/>
            <w:r w:rsidRPr="002D06AF">
              <w:t>awc_r</w:t>
            </w:r>
            <w:proofErr w:type="spellEnd"/>
          </w:p>
        </w:tc>
        <w:tc>
          <w:tcPr>
            <w:tcW w:w="8534" w:type="dxa"/>
          </w:tcPr>
          <w:p w14:paraId="5AF52D4E" w14:textId="77777777" w:rsidR="00612A57" w:rsidRPr="002D06AF" w:rsidRDefault="00612A57" w:rsidP="000708DB">
            <w:r>
              <w:t xml:space="preserve">Amount of water available to plants, adjusted </w:t>
            </w:r>
          </w:p>
        </w:tc>
      </w:tr>
      <w:tr w:rsidR="00612A57" w:rsidRPr="002D06AF" w14:paraId="19B08B6D" w14:textId="77777777" w:rsidTr="000708DB">
        <w:trPr>
          <w:trHeight w:val="300"/>
        </w:trPr>
        <w:tc>
          <w:tcPr>
            <w:tcW w:w="1451" w:type="dxa"/>
            <w:noWrap/>
            <w:hideMark/>
          </w:tcPr>
          <w:p w14:paraId="19694D8C" w14:textId="77777777" w:rsidR="00612A57" w:rsidRPr="002D06AF" w:rsidRDefault="00612A57" w:rsidP="000708DB">
            <w:proofErr w:type="spellStart"/>
            <w:r w:rsidRPr="002D06AF">
              <w:t>wthirdbar_r</w:t>
            </w:r>
            <w:proofErr w:type="spellEnd"/>
          </w:p>
        </w:tc>
        <w:tc>
          <w:tcPr>
            <w:tcW w:w="8534" w:type="dxa"/>
          </w:tcPr>
          <w:p w14:paraId="77D0A0AA" w14:textId="77777777" w:rsidR="00612A57" w:rsidRPr="002D06AF" w:rsidRDefault="00612A57" w:rsidP="000708DB">
            <w:r>
              <w:t>Volumetric content of soil water retained at a 1/3 bar tension</w:t>
            </w:r>
          </w:p>
        </w:tc>
      </w:tr>
      <w:tr w:rsidR="00612A57" w:rsidRPr="002D06AF" w14:paraId="2B1C0FF6" w14:textId="77777777" w:rsidTr="000708DB">
        <w:trPr>
          <w:trHeight w:val="300"/>
        </w:trPr>
        <w:tc>
          <w:tcPr>
            <w:tcW w:w="1451" w:type="dxa"/>
            <w:noWrap/>
            <w:hideMark/>
          </w:tcPr>
          <w:p w14:paraId="24E19D35" w14:textId="77777777" w:rsidR="00612A57" w:rsidRPr="002D06AF" w:rsidRDefault="00612A57" w:rsidP="000708DB">
            <w:proofErr w:type="spellStart"/>
            <w:r w:rsidRPr="002D06AF">
              <w:t>wfifteenbar_r</w:t>
            </w:r>
            <w:proofErr w:type="spellEnd"/>
          </w:p>
        </w:tc>
        <w:tc>
          <w:tcPr>
            <w:tcW w:w="8534" w:type="dxa"/>
          </w:tcPr>
          <w:p w14:paraId="7E58AE1A" w14:textId="77777777" w:rsidR="00612A57" w:rsidRPr="002D06AF" w:rsidRDefault="00612A57" w:rsidP="000708DB">
            <w:r>
              <w:t xml:space="preserve">Volumetric content of soil water retained at a </w:t>
            </w:r>
            <w:proofErr w:type="gramStart"/>
            <w:r>
              <w:t>15 bar</w:t>
            </w:r>
            <w:proofErr w:type="gramEnd"/>
            <w:r>
              <w:t xml:space="preserve"> tension</w:t>
            </w:r>
          </w:p>
        </w:tc>
      </w:tr>
      <w:tr w:rsidR="00612A57" w:rsidRPr="002D06AF" w14:paraId="20EB0041" w14:textId="77777777" w:rsidTr="000708DB">
        <w:trPr>
          <w:trHeight w:val="300"/>
        </w:trPr>
        <w:tc>
          <w:tcPr>
            <w:tcW w:w="1451" w:type="dxa"/>
            <w:noWrap/>
            <w:hideMark/>
          </w:tcPr>
          <w:p w14:paraId="6E9D1539" w14:textId="77777777" w:rsidR="00612A57" w:rsidRPr="002D06AF" w:rsidRDefault="00612A57" w:rsidP="000708DB">
            <w:proofErr w:type="spellStart"/>
            <w:r w:rsidRPr="002D06AF">
              <w:t>kwfact</w:t>
            </w:r>
            <w:proofErr w:type="spellEnd"/>
          </w:p>
        </w:tc>
        <w:tc>
          <w:tcPr>
            <w:tcW w:w="8534" w:type="dxa"/>
          </w:tcPr>
          <w:p w14:paraId="1B442924" w14:textId="77777777" w:rsidR="00612A57" w:rsidRPr="002D06AF" w:rsidRDefault="00612A57" w:rsidP="000708DB">
            <w:r>
              <w:t>Quantification of susceptibility of soil particles to detachment and movement by water to measure erosion factors</w:t>
            </w:r>
          </w:p>
        </w:tc>
      </w:tr>
      <w:tr w:rsidR="00612A57" w:rsidRPr="002D06AF" w14:paraId="2BA066C0" w14:textId="77777777" w:rsidTr="000708DB">
        <w:trPr>
          <w:trHeight w:val="300"/>
        </w:trPr>
        <w:tc>
          <w:tcPr>
            <w:tcW w:w="1451" w:type="dxa"/>
            <w:noWrap/>
            <w:hideMark/>
          </w:tcPr>
          <w:p w14:paraId="72757D99" w14:textId="77777777" w:rsidR="00612A57" w:rsidRPr="002D06AF" w:rsidRDefault="00612A57" w:rsidP="000708DB">
            <w:r w:rsidRPr="002D06AF">
              <w:t>caco3_r</w:t>
            </w:r>
          </w:p>
        </w:tc>
        <w:tc>
          <w:tcPr>
            <w:tcW w:w="8534" w:type="dxa"/>
          </w:tcPr>
          <w:p w14:paraId="20605B6F" w14:textId="77777777" w:rsidR="00612A57" w:rsidRPr="002D06AF" w:rsidRDefault="00612A57" w:rsidP="000708DB">
            <w:r>
              <w:t>Quantity of Carbonate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3</m:t>
                  </m:r>
                </m:sub>
              </m:sSub>
            </m:oMath>
            <w:r>
              <w:rPr>
                <w:rFonts w:eastAsiaTheme="minorEastAsia"/>
              </w:rPr>
              <w:t xml:space="preserve">) expressed as </w:t>
            </w:r>
            <m:oMath>
              <m:r>
                <w:rPr>
                  <w:rFonts w:ascii="Cambria Math" w:eastAsiaTheme="minorEastAsia" w:hAnsi="Cambria Math"/>
                </w:rPr>
                <m:t>CaC</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p>
        </w:tc>
      </w:tr>
      <w:tr w:rsidR="00612A57" w:rsidRPr="002D06AF" w14:paraId="05C680E1" w14:textId="77777777" w:rsidTr="000708DB">
        <w:trPr>
          <w:trHeight w:val="300"/>
        </w:trPr>
        <w:tc>
          <w:tcPr>
            <w:tcW w:w="1451" w:type="dxa"/>
            <w:noWrap/>
            <w:hideMark/>
          </w:tcPr>
          <w:p w14:paraId="43929AC8" w14:textId="77777777" w:rsidR="00612A57" w:rsidRPr="002D06AF" w:rsidRDefault="00612A57" w:rsidP="000708DB">
            <w:proofErr w:type="spellStart"/>
            <w:r w:rsidRPr="002D06AF">
              <w:t>gypsum_r</w:t>
            </w:r>
            <w:proofErr w:type="spellEnd"/>
          </w:p>
        </w:tc>
        <w:tc>
          <w:tcPr>
            <w:tcW w:w="8534" w:type="dxa"/>
          </w:tcPr>
          <w:p w14:paraId="6A48CBFC" w14:textId="77777777" w:rsidR="00612A57" w:rsidRPr="002D06AF" w:rsidRDefault="00612A57" w:rsidP="000708DB">
            <w:r>
              <w:t>Percent by weight of hydrated calcium sulfate in sample</w:t>
            </w:r>
          </w:p>
        </w:tc>
      </w:tr>
      <w:tr w:rsidR="00612A57" w:rsidRPr="002D06AF" w14:paraId="7AFFF447" w14:textId="77777777" w:rsidTr="000708DB">
        <w:trPr>
          <w:trHeight w:val="300"/>
        </w:trPr>
        <w:tc>
          <w:tcPr>
            <w:tcW w:w="1451" w:type="dxa"/>
            <w:noWrap/>
            <w:hideMark/>
          </w:tcPr>
          <w:p w14:paraId="2B4AF4A8" w14:textId="77777777" w:rsidR="00612A57" w:rsidRPr="002D06AF" w:rsidRDefault="00612A57" w:rsidP="000708DB">
            <w:proofErr w:type="spellStart"/>
            <w:r w:rsidRPr="002D06AF">
              <w:t>sar_r</w:t>
            </w:r>
            <w:proofErr w:type="spellEnd"/>
          </w:p>
        </w:tc>
        <w:tc>
          <w:tcPr>
            <w:tcW w:w="8534" w:type="dxa"/>
          </w:tcPr>
          <w:p w14:paraId="75989E5B" w14:textId="77777777" w:rsidR="00612A57" w:rsidRPr="002D06AF" w:rsidRDefault="00612A57" w:rsidP="000708DB">
            <w:r>
              <w:t>Relative amount of Sodium to Calcium and Magnesium extracted from water saturated soil sample</w:t>
            </w:r>
          </w:p>
        </w:tc>
      </w:tr>
      <w:tr w:rsidR="00612A57" w:rsidRPr="002D06AF" w14:paraId="5D7452E5" w14:textId="77777777" w:rsidTr="000708DB">
        <w:trPr>
          <w:trHeight w:val="300"/>
        </w:trPr>
        <w:tc>
          <w:tcPr>
            <w:tcW w:w="1451" w:type="dxa"/>
            <w:noWrap/>
            <w:hideMark/>
          </w:tcPr>
          <w:p w14:paraId="484B454C" w14:textId="77777777" w:rsidR="00612A57" w:rsidRPr="002D06AF" w:rsidRDefault="00612A57" w:rsidP="000708DB">
            <w:r w:rsidRPr="002D06AF">
              <w:t>cec7_r</w:t>
            </w:r>
          </w:p>
        </w:tc>
        <w:tc>
          <w:tcPr>
            <w:tcW w:w="8534" w:type="dxa"/>
          </w:tcPr>
          <w:p w14:paraId="0AAE580B" w14:textId="77777777" w:rsidR="00612A57" w:rsidRPr="002D06AF" w:rsidRDefault="00612A57" w:rsidP="000708DB">
            <w:proofErr w:type="gramStart"/>
            <w:r>
              <w:t>Amount</w:t>
            </w:r>
            <w:proofErr w:type="gramEnd"/>
            <w:r>
              <w:t xml:space="preserve"> of exchangeable cations at pH 7.0</w:t>
            </w:r>
          </w:p>
        </w:tc>
      </w:tr>
      <w:tr w:rsidR="00612A57" w:rsidRPr="002D06AF" w14:paraId="1A7E4ED2" w14:textId="77777777" w:rsidTr="000708DB">
        <w:trPr>
          <w:trHeight w:val="300"/>
        </w:trPr>
        <w:tc>
          <w:tcPr>
            <w:tcW w:w="1451" w:type="dxa"/>
            <w:noWrap/>
            <w:hideMark/>
          </w:tcPr>
          <w:p w14:paraId="529CFE2C" w14:textId="77777777" w:rsidR="00612A57" w:rsidRPr="002D06AF" w:rsidRDefault="00612A57" w:rsidP="000708DB">
            <w:proofErr w:type="spellStart"/>
            <w:r w:rsidRPr="002D06AF">
              <w:t>sumbases_r</w:t>
            </w:r>
            <w:proofErr w:type="spellEnd"/>
          </w:p>
        </w:tc>
        <w:tc>
          <w:tcPr>
            <w:tcW w:w="8534" w:type="dxa"/>
          </w:tcPr>
          <w:p w14:paraId="6BCFB5CC" w14:textId="77777777" w:rsidR="00612A57" w:rsidRPr="002D06AF" w:rsidRDefault="00612A57" w:rsidP="000708DB">
            <w:r>
              <w:t xml:space="preserve">The sum of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OAc</m:t>
              </m:r>
            </m:oMath>
            <w:r>
              <w:rPr>
                <w:rFonts w:eastAsiaTheme="minorEastAsia"/>
              </w:rPr>
              <w:t xml:space="preserve"> extractable bases at pH 7.0</w:t>
            </w:r>
          </w:p>
        </w:tc>
      </w:tr>
      <w:tr w:rsidR="00612A57" w:rsidRPr="002D06AF" w14:paraId="1F0EFA0A" w14:textId="77777777" w:rsidTr="000708DB">
        <w:trPr>
          <w:trHeight w:val="300"/>
        </w:trPr>
        <w:tc>
          <w:tcPr>
            <w:tcW w:w="1451" w:type="dxa"/>
            <w:noWrap/>
            <w:hideMark/>
          </w:tcPr>
          <w:p w14:paraId="7AA27D91" w14:textId="77777777" w:rsidR="00612A57" w:rsidRPr="002D06AF" w:rsidRDefault="00612A57" w:rsidP="000708DB">
            <w:proofErr w:type="spellStart"/>
            <w:r w:rsidRPr="002D06AF">
              <w:t>extracid_r</w:t>
            </w:r>
            <w:proofErr w:type="spellEnd"/>
          </w:p>
        </w:tc>
        <w:tc>
          <w:tcPr>
            <w:tcW w:w="8534" w:type="dxa"/>
          </w:tcPr>
          <w:p w14:paraId="46B8151E" w14:textId="77777777" w:rsidR="00612A57" w:rsidRPr="002D06AF" w:rsidRDefault="00612A57" w:rsidP="000708DB">
            <w:r>
              <w:t>Measure of soil exchangeable hydrogen ions</w:t>
            </w:r>
          </w:p>
        </w:tc>
      </w:tr>
      <w:tr w:rsidR="00612A57" w:rsidRPr="002D06AF" w14:paraId="648C051A" w14:textId="77777777" w:rsidTr="000708DB">
        <w:trPr>
          <w:trHeight w:val="300"/>
        </w:trPr>
        <w:tc>
          <w:tcPr>
            <w:tcW w:w="1451" w:type="dxa"/>
            <w:noWrap/>
            <w:hideMark/>
          </w:tcPr>
          <w:p w14:paraId="1C9B18D1" w14:textId="77777777" w:rsidR="00612A57" w:rsidRPr="002D06AF" w:rsidRDefault="00612A57" w:rsidP="000708DB">
            <w:proofErr w:type="spellStart"/>
            <w:r w:rsidRPr="002D06AF">
              <w:t>resdepb_r</w:t>
            </w:r>
            <w:proofErr w:type="spellEnd"/>
          </w:p>
        </w:tc>
        <w:tc>
          <w:tcPr>
            <w:tcW w:w="8534" w:type="dxa"/>
          </w:tcPr>
          <w:p w14:paraId="0513D2D6" w14:textId="77777777" w:rsidR="00612A57" w:rsidRPr="002D06AF" w:rsidRDefault="00612A57" w:rsidP="000708DB">
            <w:r>
              <w:t>Distance from soil surface to lower boundary of restrictive layer</w:t>
            </w:r>
          </w:p>
        </w:tc>
      </w:tr>
      <w:bookmarkEnd w:id="0"/>
    </w:tbl>
    <w:p w14:paraId="6AAC9A79" w14:textId="77777777" w:rsidR="00612A57" w:rsidRDefault="00612A57" w:rsidP="00612A57">
      <w:pPr>
        <w:spacing w:line="480" w:lineRule="auto"/>
        <w:jc w:val="both"/>
      </w:pPr>
    </w:p>
    <w:p w14:paraId="7AAF009A" w14:textId="77777777" w:rsidR="00612A57" w:rsidRDefault="00612A57" w:rsidP="00612A57">
      <w:r>
        <w:br w:type="page"/>
      </w:r>
    </w:p>
    <w:p w14:paraId="26B6FC53" w14:textId="77777777" w:rsidR="00612A57" w:rsidRDefault="00612A57" w:rsidP="00612A57">
      <w:pPr>
        <w:spacing w:line="480" w:lineRule="auto"/>
        <w:jc w:val="both"/>
      </w:pPr>
      <w:r w:rsidRPr="0032549F">
        <w:rPr>
          <w:b/>
          <w:bCs/>
        </w:rPr>
        <w:lastRenderedPageBreak/>
        <w:t>Table S2</w:t>
      </w:r>
      <w:r>
        <w:t xml:space="preserve">. Training and test set sample sizes, minima, maxima, and quantiles of the distribution of genetic similarities and environmental covariable similarities between training and test sets for each fold of each </w:t>
      </w:r>
      <w:proofErr w:type="gramStart"/>
      <w:r>
        <w:t>cross validation</w:t>
      </w:r>
      <w:proofErr w:type="gramEnd"/>
      <w:r>
        <w:t xml:space="preserve"> scheme. See “</w:t>
      </w:r>
      <w:r w:rsidRPr="0032549F">
        <w:t>Table_S2_Train_Test_Relationships</w:t>
      </w:r>
      <w:r>
        <w:t>.xlsx”</w:t>
      </w:r>
      <w:r>
        <w:br w:type="page"/>
      </w:r>
    </w:p>
    <w:p w14:paraId="54FAB0AD" w14:textId="77777777" w:rsidR="00612A57" w:rsidRDefault="00612A57" w:rsidP="00612A57">
      <w:pPr>
        <w:spacing w:line="480" w:lineRule="auto"/>
        <w:jc w:val="both"/>
      </w:pPr>
      <w:r w:rsidRPr="006106A9">
        <w:rPr>
          <w:b/>
        </w:rPr>
        <w:lastRenderedPageBreak/>
        <w:t>Table S</w:t>
      </w:r>
      <w:r>
        <w:rPr>
          <w:b/>
        </w:rPr>
        <w:t>3</w:t>
      </w:r>
      <w:r w:rsidRPr="006106A9">
        <w:rPr>
          <w:b/>
        </w:rPr>
        <w:t>.</w:t>
      </w:r>
      <w:r>
        <w:t xml:space="preserve"> Across-environment prediction accuracy computed as correlation between BLUEs and predicted values for models including 10,153 marker dominance coefficients and 377 environmental covariates, along with no G</w:t>
      </w:r>
      <w:r>
        <w:rPr>
          <w:rFonts w:cstheme="minorHAnsi"/>
        </w:rPr>
        <w:t>×</w:t>
      </w:r>
      <w:r>
        <w:t>E effects or G</w:t>
      </w:r>
      <w:r>
        <w:rPr>
          <w:rFonts w:cstheme="minorHAnsi"/>
        </w:rPr>
        <w:t>×</w:t>
      </w:r>
      <w:r>
        <w:t>E effects computed using principal components of the environmental data (PCA(Env)* Markers) or using principal components of the marker data (PCA(Markers) * Env) for each sampling method.  Bidirectional schemes are shaded grey.</w:t>
      </w:r>
    </w:p>
    <w:tbl>
      <w:tblPr>
        <w:tblStyle w:val="TableGrid"/>
        <w:tblW w:w="0" w:type="auto"/>
        <w:tblLook w:val="04A0" w:firstRow="1" w:lastRow="0" w:firstColumn="1" w:lastColumn="0" w:noHBand="0" w:noVBand="1"/>
      </w:tblPr>
      <w:tblGrid>
        <w:gridCol w:w="1385"/>
        <w:gridCol w:w="718"/>
        <w:gridCol w:w="1855"/>
        <w:gridCol w:w="1855"/>
      </w:tblGrid>
      <w:tr w:rsidR="00612A57" w:rsidRPr="006106A9" w14:paraId="587071BF" w14:textId="77777777" w:rsidTr="000708DB">
        <w:trPr>
          <w:trHeight w:val="300"/>
        </w:trPr>
        <w:tc>
          <w:tcPr>
            <w:tcW w:w="0" w:type="auto"/>
            <w:noWrap/>
            <w:hideMark/>
          </w:tcPr>
          <w:p w14:paraId="3058C35A" w14:textId="77777777" w:rsidR="00612A57" w:rsidRPr="006106A9" w:rsidRDefault="00612A57" w:rsidP="000708DB">
            <w:pPr>
              <w:jc w:val="both"/>
            </w:pPr>
            <w:r>
              <w:t>Method</w:t>
            </w:r>
          </w:p>
        </w:tc>
        <w:tc>
          <w:tcPr>
            <w:tcW w:w="0" w:type="auto"/>
            <w:noWrap/>
            <w:hideMark/>
          </w:tcPr>
          <w:p w14:paraId="584B19C1" w14:textId="77777777" w:rsidR="00612A57" w:rsidRPr="006106A9" w:rsidRDefault="00612A57" w:rsidP="000708DB">
            <w:pPr>
              <w:jc w:val="center"/>
            </w:pPr>
            <w:r>
              <w:t>G + E</w:t>
            </w:r>
          </w:p>
        </w:tc>
        <w:tc>
          <w:tcPr>
            <w:tcW w:w="0" w:type="auto"/>
            <w:noWrap/>
            <w:hideMark/>
          </w:tcPr>
          <w:p w14:paraId="5427D495" w14:textId="77777777" w:rsidR="00612A57" w:rsidRPr="006106A9" w:rsidRDefault="00612A57" w:rsidP="000708DB">
            <w:pPr>
              <w:jc w:val="center"/>
            </w:pPr>
            <w:r>
              <w:t>PC(Env) * Markers</w:t>
            </w:r>
          </w:p>
        </w:tc>
        <w:tc>
          <w:tcPr>
            <w:tcW w:w="0" w:type="auto"/>
            <w:noWrap/>
            <w:hideMark/>
          </w:tcPr>
          <w:p w14:paraId="17133F4F" w14:textId="77777777" w:rsidR="00612A57" w:rsidRPr="006106A9" w:rsidRDefault="00612A57" w:rsidP="000708DB">
            <w:pPr>
              <w:jc w:val="center"/>
            </w:pPr>
            <w:r>
              <w:t>PC(Markers) * Env</w:t>
            </w:r>
          </w:p>
        </w:tc>
      </w:tr>
      <w:tr w:rsidR="00612A57" w:rsidRPr="006106A9" w14:paraId="0C1ED8BE" w14:textId="77777777" w:rsidTr="000708DB">
        <w:trPr>
          <w:trHeight w:val="300"/>
        </w:trPr>
        <w:tc>
          <w:tcPr>
            <w:tcW w:w="0" w:type="auto"/>
            <w:noWrap/>
            <w:hideMark/>
          </w:tcPr>
          <w:p w14:paraId="6CC88121" w14:textId="77777777" w:rsidR="00612A57" w:rsidRPr="006106A9" w:rsidRDefault="00612A57" w:rsidP="000708DB">
            <w:pPr>
              <w:jc w:val="both"/>
            </w:pPr>
            <w:r w:rsidRPr="006106A9">
              <w:t>CV1</w:t>
            </w:r>
          </w:p>
        </w:tc>
        <w:tc>
          <w:tcPr>
            <w:tcW w:w="0" w:type="auto"/>
            <w:noWrap/>
            <w:hideMark/>
          </w:tcPr>
          <w:p w14:paraId="630EB989" w14:textId="77777777" w:rsidR="00612A57" w:rsidRPr="006106A9" w:rsidRDefault="00612A57" w:rsidP="000708DB">
            <w:pPr>
              <w:jc w:val="center"/>
            </w:pPr>
            <w:r w:rsidRPr="006106A9">
              <w:t>0.777</w:t>
            </w:r>
          </w:p>
        </w:tc>
        <w:tc>
          <w:tcPr>
            <w:tcW w:w="0" w:type="auto"/>
            <w:noWrap/>
            <w:hideMark/>
          </w:tcPr>
          <w:p w14:paraId="46F0A1FF" w14:textId="77777777" w:rsidR="00612A57" w:rsidRPr="006106A9" w:rsidRDefault="00612A57" w:rsidP="000708DB">
            <w:pPr>
              <w:jc w:val="center"/>
            </w:pPr>
            <w:r w:rsidRPr="006106A9">
              <w:t>0.794</w:t>
            </w:r>
          </w:p>
        </w:tc>
        <w:tc>
          <w:tcPr>
            <w:tcW w:w="0" w:type="auto"/>
            <w:noWrap/>
            <w:hideMark/>
          </w:tcPr>
          <w:p w14:paraId="18839CB0" w14:textId="77777777" w:rsidR="00612A57" w:rsidRPr="006106A9" w:rsidRDefault="00612A57" w:rsidP="000708DB">
            <w:pPr>
              <w:jc w:val="center"/>
            </w:pPr>
            <w:r w:rsidRPr="006106A9">
              <w:t>0.808</w:t>
            </w:r>
          </w:p>
        </w:tc>
      </w:tr>
      <w:tr w:rsidR="00612A57" w:rsidRPr="006106A9" w14:paraId="45755884" w14:textId="77777777" w:rsidTr="000708DB">
        <w:trPr>
          <w:trHeight w:val="300"/>
        </w:trPr>
        <w:tc>
          <w:tcPr>
            <w:tcW w:w="0" w:type="auto"/>
            <w:noWrap/>
            <w:hideMark/>
          </w:tcPr>
          <w:p w14:paraId="166DAB78" w14:textId="77777777" w:rsidR="00612A57" w:rsidRPr="006106A9" w:rsidRDefault="00612A57" w:rsidP="000708DB">
            <w:pPr>
              <w:jc w:val="both"/>
            </w:pPr>
            <w:r w:rsidRPr="006106A9">
              <w:t>CV2</w:t>
            </w:r>
          </w:p>
        </w:tc>
        <w:tc>
          <w:tcPr>
            <w:tcW w:w="0" w:type="auto"/>
            <w:noWrap/>
            <w:hideMark/>
          </w:tcPr>
          <w:p w14:paraId="0857E826" w14:textId="77777777" w:rsidR="00612A57" w:rsidRPr="006106A9" w:rsidRDefault="00612A57" w:rsidP="000708DB">
            <w:pPr>
              <w:jc w:val="center"/>
            </w:pPr>
            <w:r w:rsidRPr="006106A9">
              <w:t>0.786</w:t>
            </w:r>
          </w:p>
        </w:tc>
        <w:tc>
          <w:tcPr>
            <w:tcW w:w="0" w:type="auto"/>
            <w:noWrap/>
            <w:hideMark/>
          </w:tcPr>
          <w:p w14:paraId="2F71AD35" w14:textId="77777777" w:rsidR="00612A57" w:rsidRPr="006106A9" w:rsidRDefault="00612A57" w:rsidP="000708DB">
            <w:pPr>
              <w:jc w:val="center"/>
            </w:pPr>
            <w:r w:rsidRPr="006106A9">
              <w:t>0.803</w:t>
            </w:r>
          </w:p>
        </w:tc>
        <w:tc>
          <w:tcPr>
            <w:tcW w:w="0" w:type="auto"/>
            <w:noWrap/>
            <w:hideMark/>
          </w:tcPr>
          <w:p w14:paraId="370E94F5" w14:textId="77777777" w:rsidR="00612A57" w:rsidRPr="006106A9" w:rsidRDefault="00612A57" w:rsidP="000708DB">
            <w:pPr>
              <w:jc w:val="center"/>
            </w:pPr>
            <w:r w:rsidRPr="006106A9">
              <w:t>0.819</w:t>
            </w:r>
          </w:p>
        </w:tc>
      </w:tr>
      <w:tr w:rsidR="00612A57" w:rsidRPr="006106A9" w14:paraId="33ACEF64" w14:textId="77777777" w:rsidTr="000708DB">
        <w:trPr>
          <w:trHeight w:val="300"/>
        </w:trPr>
        <w:tc>
          <w:tcPr>
            <w:tcW w:w="0" w:type="auto"/>
            <w:noWrap/>
            <w:hideMark/>
          </w:tcPr>
          <w:p w14:paraId="41D18DCE" w14:textId="77777777" w:rsidR="00612A57" w:rsidRPr="006106A9" w:rsidRDefault="00612A57" w:rsidP="000708DB">
            <w:pPr>
              <w:jc w:val="both"/>
            </w:pPr>
            <w:r w:rsidRPr="006106A9">
              <w:t>LO1Y</w:t>
            </w:r>
          </w:p>
        </w:tc>
        <w:tc>
          <w:tcPr>
            <w:tcW w:w="0" w:type="auto"/>
            <w:noWrap/>
            <w:hideMark/>
          </w:tcPr>
          <w:p w14:paraId="1F39E71D" w14:textId="77777777" w:rsidR="00612A57" w:rsidRPr="006106A9" w:rsidRDefault="00612A57" w:rsidP="000708DB">
            <w:pPr>
              <w:jc w:val="center"/>
            </w:pPr>
            <w:r w:rsidRPr="006106A9">
              <w:t>0.286</w:t>
            </w:r>
          </w:p>
        </w:tc>
        <w:tc>
          <w:tcPr>
            <w:tcW w:w="0" w:type="auto"/>
            <w:noWrap/>
            <w:hideMark/>
          </w:tcPr>
          <w:p w14:paraId="0B63FDC2" w14:textId="77777777" w:rsidR="00612A57" w:rsidRPr="006106A9" w:rsidRDefault="00612A57" w:rsidP="000708DB">
            <w:pPr>
              <w:jc w:val="center"/>
            </w:pPr>
            <w:r w:rsidRPr="006106A9">
              <w:t>0.267</w:t>
            </w:r>
          </w:p>
        </w:tc>
        <w:tc>
          <w:tcPr>
            <w:tcW w:w="0" w:type="auto"/>
            <w:noWrap/>
            <w:hideMark/>
          </w:tcPr>
          <w:p w14:paraId="160AB420" w14:textId="77777777" w:rsidR="00612A57" w:rsidRPr="006106A9" w:rsidRDefault="00612A57" w:rsidP="000708DB">
            <w:pPr>
              <w:jc w:val="center"/>
            </w:pPr>
            <w:r w:rsidRPr="006106A9">
              <w:t>0.262</w:t>
            </w:r>
          </w:p>
        </w:tc>
      </w:tr>
      <w:tr w:rsidR="00612A57" w:rsidRPr="006106A9" w14:paraId="026028CF" w14:textId="77777777" w:rsidTr="000708DB">
        <w:trPr>
          <w:trHeight w:val="300"/>
        </w:trPr>
        <w:tc>
          <w:tcPr>
            <w:tcW w:w="0" w:type="auto"/>
            <w:noWrap/>
            <w:hideMark/>
          </w:tcPr>
          <w:p w14:paraId="0C6898E9" w14:textId="77777777" w:rsidR="00612A57" w:rsidRPr="006106A9" w:rsidRDefault="00612A57" w:rsidP="000708DB">
            <w:pPr>
              <w:jc w:val="both"/>
            </w:pPr>
            <w:r w:rsidRPr="006106A9">
              <w:t>LORE</w:t>
            </w:r>
          </w:p>
        </w:tc>
        <w:tc>
          <w:tcPr>
            <w:tcW w:w="0" w:type="auto"/>
            <w:noWrap/>
            <w:hideMark/>
          </w:tcPr>
          <w:p w14:paraId="23BEE45C" w14:textId="77777777" w:rsidR="00612A57" w:rsidRPr="006106A9" w:rsidRDefault="00612A57" w:rsidP="000708DB">
            <w:pPr>
              <w:jc w:val="center"/>
            </w:pPr>
            <w:r w:rsidRPr="006106A9">
              <w:t>0.216</w:t>
            </w:r>
          </w:p>
        </w:tc>
        <w:tc>
          <w:tcPr>
            <w:tcW w:w="0" w:type="auto"/>
            <w:noWrap/>
            <w:hideMark/>
          </w:tcPr>
          <w:p w14:paraId="6D4B5C5C" w14:textId="77777777" w:rsidR="00612A57" w:rsidRPr="006106A9" w:rsidRDefault="00612A57" w:rsidP="000708DB">
            <w:pPr>
              <w:jc w:val="center"/>
            </w:pPr>
            <w:r w:rsidRPr="006106A9">
              <w:t>0.207</w:t>
            </w:r>
          </w:p>
        </w:tc>
        <w:tc>
          <w:tcPr>
            <w:tcW w:w="0" w:type="auto"/>
            <w:noWrap/>
            <w:hideMark/>
          </w:tcPr>
          <w:p w14:paraId="7F232570" w14:textId="77777777" w:rsidR="00612A57" w:rsidRPr="006106A9" w:rsidRDefault="00612A57" w:rsidP="000708DB">
            <w:pPr>
              <w:jc w:val="center"/>
            </w:pPr>
            <w:r w:rsidRPr="006106A9">
              <w:t>0.203</w:t>
            </w:r>
          </w:p>
        </w:tc>
      </w:tr>
      <w:tr w:rsidR="00612A57" w:rsidRPr="006106A9" w14:paraId="41EB3A4B" w14:textId="77777777" w:rsidTr="000708DB">
        <w:trPr>
          <w:trHeight w:val="300"/>
        </w:trPr>
        <w:tc>
          <w:tcPr>
            <w:tcW w:w="0" w:type="auto"/>
            <w:noWrap/>
            <w:hideMark/>
          </w:tcPr>
          <w:p w14:paraId="3E0A4F10" w14:textId="77777777" w:rsidR="00612A57" w:rsidRPr="006106A9" w:rsidRDefault="00612A57" w:rsidP="000708DB">
            <w:pPr>
              <w:jc w:val="both"/>
            </w:pPr>
            <w:r w:rsidRPr="006106A9">
              <w:t>LORH</w:t>
            </w:r>
          </w:p>
        </w:tc>
        <w:tc>
          <w:tcPr>
            <w:tcW w:w="0" w:type="auto"/>
            <w:noWrap/>
            <w:hideMark/>
          </w:tcPr>
          <w:p w14:paraId="2C87E5B1" w14:textId="77777777" w:rsidR="00612A57" w:rsidRPr="006106A9" w:rsidRDefault="00612A57" w:rsidP="000708DB">
            <w:pPr>
              <w:jc w:val="center"/>
            </w:pPr>
            <w:r w:rsidRPr="006106A9">
              <w:t>0.734</w:t>
            </w:r>
          </w:p>
        </w:tc>
        <w:tc>
          <w:tcPr>
            <w:tcW w:w="0" w:type="auto"/>
            <w:noWrap/>
            <w:hideMark/>
          </w:tcPr>
          <w:p w14:paraId="74838FB7" w14:textId="77777777" w:rsidR="00612A57" w:rsidRPr="006106A9" w:rsidRDefault="00612A57" w:rsidP="000708DB">
            <w:pPr>
              <w:jc w:val="center"/>
            </w:pPr>
            <w:r w:rsidRPr="006106A9">
              <w:t>0.743</w:t>
            </w:r>
          </w:p>
        </w:tc>
        <w:tc>
          <w:tcPr>
            <w:tcW w:w="0" w:type="auto"/>
            <w:noWrap/>
            <w:hideMark/>
          </w:tcPr>
          <w:p w14:paraId="762D4634" w14:textId="77777777" w:rsidR="00612A57" w:rsidRPr="006106A9" w:rsidRDefault="00612A57" w:rsidP="000708DB">
            <w:pPr>
              <w:jc w:val="center"/>
            </w:pPr>
            <w:r w:rsidRPr="006106A9">
              <w:t>0.750</w:t>
            </w:r>
          </w:p>
        </w:tc>
      </w:tr>
      <w:tr w:rsidR="00612A57" w:rsidRPr="006106A9" w14:paraId="71EF49E0" w14:textId="77777777" w:rsidTr="000708DB">
        <w:trPr>
          <w:trHeight w:val="300"/>
        </w:trPr>
        <w:tc>
          <w:tcPr>
            <w:tcW w:w="0" w:type="auto"/>
            <w:noWrap/>
            <w:hideMark/>
          </w:tcPr>
          <w:p w14:paraId="78281D65" w14:textId="77777777" w:rsidR="00612A57" w:rsidRPr="006106A9" w:rsidRDefault="00612A57" w:rsidP="000708DB">
            <w:pPr>
              <w:jc w:val="both"/>
            </w:pPr>
            <w:r w:rsidRPr="006106A9">
              <w:t>LO1E</w:t>
            </w:r>
          </w:p>
        </w:tc>
        <w:tc>
          <w:tcPr>
            <w:tcW w:w="0" w:type="auto"/>
            <w:noWrap/>
            <w:hideMark/>
          </w:tcPr>
          <w:p w14:paraId="35FC96D7" w14:textId="77777777" w:rsidR="00612A57" w:rsidRPr="006106A9" w:rsidRDefault="00612A57" w:rsidP="000708DB">
            <w:pPr>
              <w:jc w:val="center"/>
            </w:pPr>
            <w:r w:rsidRPr="006106A9">
              <w:t>0.476</w:t>
            </w:r>
          </w:p>
        </w:tc>
        <w:tc>
          <w:tcPr>
            <w:tcW w:w="0" w:type="auto"/>
            <w:noWrap/>
            <w:hideMark/>
          </w:tcPr>
          <w:p w14:paraId="3633865B" w14:textId="77777777" w:rsidR="00612A57" w:rsidRPr="006106A9" w:rsidRDefault="00612A57" w:rsidP="000708DB">
            <w:pPr>
              <w:jc w:val="center"/>
            </w:pPr>
            <w:r w:rsidRPr="006106A9">
              <w:t>0.480</w:t>
            </w:r>
          </w:p>
        </w:tc>
        <w:tc>
          <w:tcPr>
            <w:tcW w:w="0" w:type="auto"/>
            <w:noWrap/>
            <w:hideMark/>
          </w:tcPr>
          <w:p w14:paraId="71B61923" w14:textId="77777777" w:rsidR="00612A57" w:rsidRPr="006106A9" w:rsidRDefault="00612A57" w:rsidP="000708DB">
            <w:pPr>
              <w:jc w:val="center"/>
            </w:pPr>
            <w:r w:rsidRPr="006106A9">
              <w:t>0.470</w:t>
            </w:r>
          </w:p>
        </w:tc>
      </w:tr>
      <w:tr w:rsidR="00612A57" w:rsidRPr="006106A9" w14:paraId="72AD5BBE" w14:textId="77777777" w:rsidTr="000708DB">
        <w:trPr>
          <w:trHeight w:val="300"/>
        </w:trPr>
        <w:tc>
          <w:tcPr>
            <w:tcW w:w="0" w:type="auto"/>
            <w:shd w:val="clear" w:color="auto" w:fill="D9D9D9" w:themeFill="background1" w:themeFillShade="D9"/>
            <w:noWrap/>
            <w:hideMark/>
          </w:tcPr>
          <w:p w14:paraId="03F20174" w14:textId="77777777" w:rsidR="00612A57" w:rsidRPr="006106A9" w:rsidRDefault="00612A57" w:rsidP="000708DB">
            <w:pPr>
              <w:jc w:val="both"/>
            </w:pPr>
            <w:r w:rsidRPr="006106A9">
              <w:t>CV1 + LO1Y</w:t>
            </w:r>
          </w:p>
        </w:tc>
        <w:tc>
          <w:tcPr>
            <w:tcW w:w="0" w:type="auto"/>
            <w:shd w:val="clear" w:color="auto" w:fill="D9D9D9" w:themeFill="background1" w:themeFillShade="D9"/>
            <w:noWrap/>
            <w:hideMark/>
          </w:tcPr>
          <w:p w14:paraId="762E61FB" w14:textId="77777777" w:rsidR="00612A57" w:rsidRPr="006106A9" w:rsidRDefault="00612A57" w:rsidP="000708DB">
            <w:pPr>
              <w:jc w:val="center"/>
            </w:pPr>
            <w:r w:rsidRPr="006106A9">
              <w:t>0.246</w:t>
            </w:r>
          </w:p>
        </w:tc>
        <w:tc>
          <w:tcPr>
            <w:tcW w:w="0" w:type="auto"/>
            <w:shd w:val="clear" w:color="auto" w:fill="D9D9D9" w:themeFill="background1" w:themeFillShade="D9"/>
            <w:noWrap/>
            <w:hideMark/>
          </w:tcPr>
          <w:p w14:paraId="6C71C5C7" w14:textId="77777777" w:rsidR="00612A57" w:rsidRPr="006106A9" w:rsidRDefault="00612A57" w:rsidP="000708DB">
            <w:pPr>
              <w:jc w:val="center"/>
            </w:pPr>
            <w:r w:rsidRPr="006106A9">
              <w:t>0.275</w:t>
            </w:r>
          </w:p>
        </w:tc>
        <w:tc>
          <w:tcPr>
            <w:tcW w:w="0" w:type="auto"/>
            <w:shd w:val="clear" w:color="auto" w:fill="D9D9D9" w:themeFill="background1" w:themeFillShade="D9"/>
            <w:noWrap/>
            <w:hideMark/>
          </w:tcPr>
          <w:p w14:paraId="63BD5D33" w14:textId="77777777" w:rsidR="00612A57" w:rsidRPr="006106A9" w:rsidRDefault="00612A57" w:rsidP="000708DB">
            <w:pPr>
              <w:jc w:val="center"/>
            </w:pPr>
            <w:r w:rsidRPr="006106A9">
              <w:t>0.236</w:t>
            </w:r>
          </w:p>
        </w:tc>
      </w:tr>
      <w:tr w:rsidR="00612A57" w:rsidRPr="006106A9" w14:paraId="099A2FE1" w14:textId="77777777" w:rsidTr="000708DB">
        <w:trPr>
          <w:trHeight w:val="300"/>
        </w:trPr>
        <w:tc>
          <w:tcPr>
            <w:tcW w:w="0" w:type="auto"/>
            <w:shd w:val="clear" w:color="auto" w:fill="D9D9D9" w:themeFill="background1" w:themeFillShade="D9"/>
            <w:noWrap/>
            <w:hideMark/>
          </w:tcPr>
          <w:p w14:paraId="7FA58FA4" w14:textId="77777777" w:rsidR="00612A57" w:rsidRPr="006106A9" w:rsidRDefault="00612A57" w:rsidP="000708DB">
            <w:pPr>
              <w:jc w:val="both"/>
            </w:pPr>
            <w:r w:rsidRPr="006106A9">
              <w:t>LORH + LO1Y</w:t>
            </w:r>
          </w:p>
        </w:tc>
        <w:tc>
          <w:tcPr>
            <w:tcW w:w="0" w:type="auto"/>
            <w:shd w:val="clear" w:color="auto" w:fill="D9D9D9" w:themeFill="background1" w:themeFillShade="D9"/>
            <w:noWrap/>
            <w:hideMark/>
          </w:tcPr>
          <w:p w14:paraId="0D847E18" w14:textId="77777777" w:rsidR="00612A57" w:rsidRPr="006106A9" w:rsidRDefault="00612A57" w:rsidP="000708DB">
            <w:pPr>
              <w:jc w:val="center"/>
            </w:pPr>
            <w:r w:rsidRPr="006106A9">
              <w:t>0.252</w:t>
            </w:r>
          </w:p>
        </w:tc>
        <w:tc>
          <w:tcPr>
            <w:tcW w:w="0" w:type="auto"/>
            <w:shd w:val="clear" w:color="auto" w:fill="D9D9D9" w:themeFill="background1" w:themeFillShade="D9"/>
            <w:noWrap/>
            <w:hideMark/>
          </w:tcPr>
          <w:p w14:paraId="2EE60768" w14:textId="77777777" w:rsidR="00612A57" w:rsidRPr="006106A9" w:rsidRDefault="00612A57" w:rsidP="000708DB">
            <w:pPr>
              <w:jc w:val="center"/>
            </w:pPr>
            <w:r w:rsidRPr="006106A9">
              <w:t>0.205</w:t>
            </w:r>
          </w:p>
        </w:tc>
        <w:tc>
          <w:tcPr>
            <w:tcW w:w="0" w:type="auto"/>
            <w:shd w:val="clear" w:color="auto" w:fill="D9D9D9" w:themeFill="background1" w:themeFillShade="D9"/>
            <w:noWrap/>
            <w:hideMark/>
          </w:tcPr>
          <w:p w14:paraId="49B6EC75" w14:textId="77777777" w:rsidR="00612A57" w:rsidRPr="006106A9" w:rsidRDefault="00612A57" w:rsidP="000708DB">
            <w:pPr>
              <w:jc w:val="center"/>
            </w:pPr>
            <w:r w:rsidRPr="006106A9">
              <w:t>0.237</w:t>
            </w:r>
          </w:p>
        </w:tc>
      </w:tr>
      <w:tr w:rsidR="00612A57" w:rsidRPr="006106A9" w14:paraId="02E23E7A" w14:textId="77777777" w:rsidTr="000708DB">
        <w:trPr>
          <w:trHeight w:val="300"/>
        </w:trPr>
        <w:tc>
          <w:tcPr>
            <w:tcW w:w="0" w:type="auto"/>
            <w:shd w:val="clear" w:color="auto" w:fill="D9D9D9" w:themeFill="background1" w:themeFillShade="D9"/>
            <w:noWrap/>
            <w:hideMark/>
          </w:tcPr>
          <w:p w14:paraId="7B2B8960" w14:textId="77777777" w:rsidR="00612A57" w:rsidRPr="006106A9" w:rsidRDefault="00612A57" w:rsidP="000708DB">
            <w:pPr>
              <w:jc w:val="both"/>
            </w:pPr>
            <w:r w:rsidRPr="006106A9">
              <w:t>CV1 + LORE</w:t>
            </w:r>
          </w:p>
        </w:tc>
        <w:tc>
          <w:tcPr>
            <w:tcW w:w="0" w:type="auto"/>
            <w:shd w:val="clear" w:color="auto" w:fill="D9D9D9" w:themeFill="background1" w:themeFillShade="D9"/>
            <w:noWrap/>
            <w:hideMark/>
          </w:tcPr>
          <w:p w14:paraId="50422262" w14:textId="77777777" w:rsidR="00612A57" w:rsidRPr="006106A9" w:rsidRDefault="00612A57" w:rsidP="000708DB">
            <w:pPr>
              <w:jc w:val="center"/>
            </w:pPr>
            <w:r w:rsidRPr="006106A9">
              <w:t>0.161</w:t>
            </w:r>
          </w:p>
        </w:tc>
        <w:tc>
          <w:tcPr>
            <w:tcW w:w="0" w:type="auto"/>
            <w:shd w:val="clear" w:color="auto" w:fill="D9D9D9" w:themeFill="background1" w:themeFillShade="D9"/>
            <w:noWrap/>
            <w:hideMark/>
          </w:tcPr>
          <w:p w14:paraId="142DE2D8" w14:textId="77777777" w:rsidR="00612A57" w:rsidRPr="006106A9" w:rsidRDefault="00612A57" w:rsidP="000708DB">
            <w:pPr>
              <w:jc w:val="center"/>
            </w:pPr>
            <w:r w:rsidRPr="006106A9">
              <w:t>0.171</w:t>
            </w:r>
          </w:p>
        </w:tc>
        <w:tc>
          <w:tcPr>
            <w:tcW w:w="0" w:type="auto"/>
            <w:shd w:val="clear" w:color="auto" w:fill="D9D9D9" w:themeFill="background1" w:themeFillShade="D9"/>
            <w:noWrap/>
            <w:hideMark/>
          </w:tcPr>
          <w:p w14:paraId="3F6438C2" w14:textId="77777777" w:rsidR="00612A57" w:rsidRPr="006106A9" w:rsidRDefault="00612A57" w:rsidP="000708DB">
            <w:pPr>
              <w:jc w:val="center"/>
            </w:pPr>
            <w:r w:rsidRPr="006106A9">
              <w:t>0.173</w:t>
            </w:r>
          </w:p>
        </w:tc>
      </w:tr>
      <w:tr w:rsidR="00612A57" w:rsidRPr="006106A9" w14:paraId="625749B9" w14:textId="77777777" w:rsidTr="000708DB">
        <w:trPr>
          <w:trHeight w:val="300"/>
        </w:trPr>
        <w:tc>
          <w:tcPr>
            <w:tcW w:w="0" w:type="auto"/>
            <w:shd w:val="clear" w:color="auto" w:fill="D9D9D9" w:themeFill="background1" w:themeFillShade="D9"/>
            <w:noWrap/>
            <w:hideMark/>
          </w:tcPr>
          <w:p w14:paraId="3C837330" w14:textId="77777777" w:rsidR="00612A57" w:rsidRPr="006106A9" w:rsidRDefault="00612A57" w:rsidP="000708DB">
            <w:pPr>
              <w:jc w:val="both"/>
            </w:pPr>
            <w:r w:rsidRPr="006106A9">
              <w:t>LORH + LORE</w:t>
            </w:r>
          </w:p>
        </w:tc>
        <w:tc>
          <w:tcPr>
            <w:tcW w:w="0" w:type="auto"/>
            <w:shd w:val="clear" w:color="auto" w:fill="D9D9D9" w:themeFill="background1" w:themeFillShade="D9"/>
            <w:noWrap/>
            <w:hideMark/>
          </w:tcPr>
          <w:p w14:paraId="19E6BA01" w14:textId="77777777" w:rsidR="00612A57" w:rsidRPr="006106A9" w:rsidRDefault="00612A57" w:rsidP="000708DB">
            <w:pPr>
              <w:jc w:val="center"/>
            </w:pPr>
            <w:r w:rsidRPr="006106A9">
              <w:t>0.167</w:t>
            </w:r>
          </w:p>
        </w:tc>
        <w:tc>
          <w:tcPr>
            <w:tcW w:w="0" w:type="auto"/>
            <w:shd w:val="clear" w:color="auto" w:fill="D9D9D9" w:themeFill="background1" w:themeFillShade="D9"/>
            <w:noWrap/>
            <w:hideMark/>
          </w:tcPr>
          <w:p w14:paraId="437A805F" w14:textId="77777777" w:rsidR="00612A57" w:rsidRPr="006106A9" w:rsidRDefault="00612A57" w:rsidP="000708DB">
            <w:pPr>
              <w:jc w:val="center"/>
            </w:pPr>
            <w:r w:rsidRPr="006106A9">
              <w:t>0.158</w:t>
            </w:r>
          </w:p>
        </w:tc>
        <w:tc>
          <w:tcPr>
            <w:tcW w:w="0" w:type="auto"/>
            <w:shd w:val="clear" w:color="auto" w:fill="D9D9D9" w:themeFill="background1" w:themeFillShade="D9"/>
            <w:noWrap/>
            <w:hideMark/>
          </w:tcPr>
          <w:p w14:paraId="4D9B8557" w14:textId="77777777" w:rsidR="00612A57" w:rsidRPr="006106A9" w:rsidRDefault="00612A57" w:rsidP="000708DB">
            <w:pPr>
              <w:jc w:val="center"/>
            </w:pPr>
            <w:r w:rsidRPr="006106A9">
              <w:t>0.175</w:t>
            </w:r>
          </w:p>
        </w:tc>
      </w:tr>
    </w:tbl>
    <w:p w14:paraId="49B4265B" w14:textId="77777777" w:rsidR="00612A57" w:rsidRDefault="00612A57" w:rsidP="00612A57">
      <w:pPr>
        <w:spacing w:line="480" w:lineRule="auto"/>
        <w:jc w:val="both"/>
        <w:rPr>
          <w:b/>
        </w:rPr>
      </w:pPr>
    </w:p>
    <w:p w14:paraId="1F305D55" w14:textId="77777777" w:rsidR="00612A57" w:rsidRDefault="00612A57" w:rsidP="00612A57">
      <w:pPr>
        <w:spacing w:line="480" w:lineRule="auto"/>
        <w:jc w:val="both"/>
        <w:rPr>
          <w:b/>
        </w:rPr>
      </w:pPr>
    </w:p>
    <w:p w14:paraId="1D794B6A" w14:textId="77777777" w:rsidR="00612A57" w:rsidRDefault="00612A57" w:rsidP="00612A57">
      <w:pPr>
        <w:rPr>
          <w:b/>
        </w:rPr>
      </w:pPr>
      <w:r>
        <w:rPr>
          <w:b/>
        </w:rPr>
        <w:br w:type="page"/>
      </w:r>
    </w:p>
    <w:p w14:paraId="514EEA90" w14:textId="77777777" w:rsidR="00612A57" w:rsidRDefault="00612A57" w:rsidP="00612A57">
      <w:pPr>
        <w:spacing w:line="480" w:lineRule="auto"/>
        <w:jc w:val="both"/>
      </w:pPr>
      <w:r w:rsidRPr="006106A9">
        <w:rPr>
          <w:b/>
        </w:rPr>
        <w:lastRenderedPageBreak/>
        <w:t>Table S</w:t>
      </w:r>
      <w:r>
        <w:rPr>
          <w:b/>
        </w:rPr>
        <w:t>4</w:t>
      </w:r>
      <w:r w:rsidRPr="006106A9">
        <w:rPr>
          <w:b/>
        </w:rPr>
        <w:t>.</w:t>
      </w:r>
      <w:r>
        <w:t xml:space="preserve"> Mean within-environment prediction accuracies for models including 10,153 marker dominance coefficients and 377 environmental covariates, along with no G</w:t>
      </w:r>
      <w:r>
        <w:rPr>
          <w:rFonts w:cstheme="minorHAnsi"/>
        </w:rPr>
        <w:t>×</w:t>
      </w:r>
      <w:r>
        <w:t>E effects or G</w:t>
      </w:r>
      <w:r>
        <w:rPr>
          <w:rFonts w:cstheme="minorHAnsi"/>
        </w:rPr>
        <w:t>×</w:t>
      </w:r>
      <w:r>
        <w:t>E effects computed using principal components of the environmental data (PCA(Env)* Markers) or using principal components of the marker data (PCA(Markers) * Env) for each sampling method.  Bidirectional schemes are shaded grey.</w:t>
      </w:r>
    </w:p>
    <w:tbl>
      <w:tblPr>
        <w:tblStyle w:val="TableGrid"/>
        <w:tblW w:w="0" w:type="auto"/>
        <w:tblLook w:val="04A0" w:firstRow="1" w:lastRow="0" w:firstColumn="1" w:lastColumn="0" w:noHBand="0" w:noVBand="1"/>
      </w:tblPr>
      <w:tblGrid>
        <w:gridCol w:w="1385"/>
        <w:gridCol w:w="718"/>
        <w:gridCol w:w="1855"/>
        <w:gridCol w:w="1855"/>
      </w:tblGrid>
      <w:tr w:rsidR="00612A57" w:rsidRPr="006106A9" w14:paraId="3A13775B" w14:textId="77777777" w:rsidTr="000708DB">
        <w:trPr>
          <w:trHeight w:val="300"/>
        </w:trPr>
        <w:tc>
          <w:tcPr>
            <w:tcW w:w="0" w:type="auto"/>
            <w:noWrap/>
            <w:hideMark/>
          </w:tcPr>
          <w:p w14:paraId="5B8973F9" w14:textId="77777777" w:rsidR="00612A57" w:rsidRPr="006106A9" w:rsidRDefault="00612A57" w:rsidP="000708DB">
            <w:pPr>
              <w:jc w:val="both"/>
            </w:pPr>
            <w:r>
              <w:t>Method</w:t>
            </w:r>
          </w:p>
        </w:tc>
        <w:tc>
          <w:tcPr>
            <w:tcW w:w="0" w:type="auto"/>
            <w:noWrap/>
            <w:hideMark/>
          </w:tcPr>
          <w:p w14:paraId="4332F33F" w14:textId="77777777" w:rsidR="00612A57" w:rsidRPr="006106A9" w:rsidRDefault="00612A57" w:rsidP="000708DB">
            <w:pPr>
              <w:jc w:val="center"/>
            </w:pPr>
            <w:r>
              <w:t>G + E</w:t>
            </w:r>
          </w:p>
        </w:tc>
        <w:tc>
          <w:tcPr>
            <w:tcW w:w="0" w:type="auto"/>
            <w:noWrap/>
            <w:hideMark/>
          </w:tcPr>
          <w:p w14:paraId="14AA7EEC" w14:textId="77777777" w:rsidR="00612A57" w:rsidRPr="006106A9" w:rsidRDefault="00612A57" w:rsidP="000708DB">
            <w:pPr>
              <w:jc w:val="center"/>
            </w:pPr>
            <w:r>
              <w:t>PC(Env) * Markers</w:t>
            </w:r>
          </w:p>
        </w:tc>
        <w:tc>
          <w:tcPr>
            <w:tcW w:w="0" w:type="auto"/>
            <w:noWrap/>
            <w:hideMark/>
          </w:tcPr>
          <w:p w14:paraId="6BD3DEB3" w14:textId="77777777" w:rsidR="00612A57" w:rsidRPr="006106A9" w:rsidRDefault="00612A57" w:rsidP="000708DB">
            <w:pPr>
              <w:jc w:val="center"/>
            </w:pPr>
            <w:r>
              <w:t>PC(Markers) * Env</w:t>
            </w:r>
          </w:p>
        </w:tc>
      </w:tr>
      <w:tr w:rsidR="00612A57" w:rsidRPr="006106A9" w14:paraId="4AC9AAB4" w14:textId="77777777" w:rsidTr="000708DB">
        <w:trPr>
          <w:trHeight w:val="300"/>
        </w:trPr>
        <w:tc>
          <w:tcPr>
            <w:tcW w:w="0" w:type="auto"/>
            <w:noWrap/>
            <w:hideMark/>
          </w:tcPr>
          <w:p w14:paraId="17D6C17E" w14:textId="77777777" w:rsidR="00612A57" w:rsidRPr="006106A9" w:rsidRDefault="00612A57" w:rsidP="000708DB">
            <w:pPr>
              <w:jc w:val="both"/>
            </w:pPr>
            <w:r w:rsidRPr="006106A9">
              <w:t>CV1</w:t>
            </w:r>
          </w:p>
        </w:tc>
        <w:tc>
          <w:tcPr>
            <w:tcW w:w="0" w:type="auto"/>
            <w:noWrap/>
            <w:hideMark/>
          </w:tcPr>
          <w:p w14:paraId="24C9B3AD" w14:textId="77777777" w:rsidR="00612A57" w:rsidRPr="006106A9" w:rsidRDefault="00612A57" w:rsidP="000708DB">
            <w:pPr>
              <w:jc w:val="center"/>
            </w:pPr>
            <w:r w:rsidRPr="003E54A3">
              <w:t>0.436</w:t>
            </w:r>
          </w:p>
        </w:tc>
        <w:tc>
          <w:tcPr>
            <w:tcW w:w="0" w:type="auto"/>
            <w:noWrap/>
            <w:hideMark/>
          </w:tcPr>
          <w:p w14:paraId="68FEB076" w14:textId="77777777" w:rsidR="00612A57" w:rsidRPr="006106A9" w:rsidRDefault="00612A57" w:rsidP="000708DB">
            <w:pPr>
              <w:jc w:val="center"/>
            </w:pPr>
            <w:r w:rsidRPr="003E54A3">
              <w:t>0.482</w:t>
            </w:r>
          </w:p>
        </w:tc>
        <w:tc>
          <w:tcPr>
            <w:tcW w:w="0" w:type="auto"/>
            <w:noWrap/>
            <w:hideMark/>
          </w:tcPr>
          <w:p w14:paraId="0DC49D0D" w14:textId="77777777" w:rsidR="00612A57" w:rsidRPr="006106A9" w:rsidRDefault="00612A57" w:rsidP="000708DB">
            <w:pPr>
              <w:jc w:val="center"/>
            </w:pPr>
            <w:r w:rsidRPr="003E54A3">
              <w:t>0.517</w:t>
            </w:r>
          </w:p>
        </w:tc>
      </w:tr>
      <w:tr w:rsidR="00612A57" w:rsidRPr="006106A9" w14:paraId="466EECD5" w14:textId="77777777" w:rsidTr="000708DB">
        <w:trPr>
          <w:trHeight w:val="300"/>
        </w:trPr>
        <w:tc>
          <w:tcPr>
            <w:tcW w:w="0" w:type="auto"/>
            <w:noWrap/>
            <w:hideMark/>
          </w:tcPr>
          <w:p w14:paraId="35A690F6" w14:textId="77777777" w:rsidR="00612A57" w:rsidRPr="006106A9" w:rsidRDefault="00612A57" w:rsidP="000708DB">
            <w:pPr>
              <w:jc w:val="both"/>
            </w:pPr>
            <w:r w:rsidRPr="006106A9">
              <w:t>CV2</w:t>
            </w:r>
          </w:p>
        </w:tc>
        <w:tc>
          <w:tcPr>
            <w:tcW w:w="0" w:type="auto"/>
            <w:noWrap/>
            <w:hideMark/>
          </w:tcPr>
          <w:p w14:paraId="5213F17A" w14:textId="77777777" w:rsidR="00612A57" w:rsidRPr="006106A9" w:rsidRDefault="00612A57" w:rsidP="000708DB">
            <w:pPr>
              <w:jc w:val="center"/>
            </w:pPr>
            <w:r w:rsidRPr="003E54A3">
              <w:t>0.464</w:t>
            </w:r>
          </w:p>
        </w:tc>
        <w:tc>
          <w:tcPr>
            <w:tcW w:w="0" w:type="auto"/>
            <w:noWrap/>
            <w:hideMark/>
          </w:tcPr>
          <w:p w14:paraId="6223B36E" w14:textId="77777777" w:rsidR="00612A57" w:rsidRPr="006106A9" w:rsidRDefault="00612A57" w:rsidP="000708DB">
            <w:pPr>
              <w:jc w:val="center"/>
            </w:pPr>
            <w:r w:rsidRPr="003E54A3">
              <w:t>0.510</w:t>
            </w:r>
          </w:p>
        </w:tc>
        <w:tc>
          <w:tcPr>
            <w:tcW w:w="0" w:type="auto"/>
            <w:noWrap/>
            <w:hideMark/>
          </w:tcPr>
          <w:p w14:paraId="0EA76233" w14:textId="77777777" w:rsidR="00612A57" w:rsidRPr="006106A9" w:rsidRDefault="00612A57" w:rsidP="000708DB">
            <w:pPr>
              <w:jc w:val="center"/>
            </w:pPr>
            <w:r w:rsidRPr="003E54A3">
              <w:t>0.547</w:t>
            </w:r>
          </w:p>
        </w:tc>
      </w:tr>
      <w:tr w:rsidR="00612A57" w:rsidRPr="006106A9" w14:paraId="45E8B363" w14:textId="77777777" w:rsidTr="000708DB">
        <w:trPr>
          <w:trHeight w:val="300"/>
        </w:trPr>
        <w:tc>
          <w:tcPr>
            <w:tcW w:w="0" w:type="auto"/>
            <w:noWrap/>
            <w:hideMark/>
          </w:tcPr>
          <w:p w14:paraId="28808AF6" w14:textId="77777777" w:rsidR="00612A57" w:rsidRPr="006106A9" w:rsidRDefault="00612A57" w:rsidP="000708DB">
            <w:pPr>
              <w:jc w:val="both"/>
            </w:pPr>
            <w:r w:rsidRPr="006106A9">
              <w:t>LO1Y</w:t>
            </w:r>
          </w:p>
        </w:tc>
        <w:tc>
          <w:tcPr>
            <w:tcW w:w="0" w:type="auto"/>
            <w:noWrap/>
            <w:hideMark/>
          </w:tcPr>
          <w:p w14:paraId="665FC234" w14:textId="77777777" w:rsidR="00612A57" w:rsidRPr="006106A9" w:rsidRDefault="00612A57" w:rsidP="000708DB">
            <w:pPr>
              <w:jc w:val="center"/>
            </w:pPr>
            <w:r w:rsidRPr="003E54A3">
              <w:t>0.363</w:t>
            </w:r>
          </w:p>
        </w:tc>
        <w:tc>
          <w:tcPr>
            <w:tcW w:w="0" w:type="auto"/>
            <w:noWrap/>
            <w:hideMark/>
          </w:tcPr>
          <w:p w14:paraId="02AA1FA2" w14:textId="77777777" w:rsidR="00612A57" w:rsidRPr="006106A9" w:rsidRDefault="00612A57" w:rsidP="000708DB">
            <w:pPr>
              <w:jc w:val="center"/>
            </w:pPr>
            <w:r w:rsidRPr="003E54A3">
              <w:t>0.365</w:t>
            </w:r>
          </w:p>
        </w:tc>
        <w:tc>
          <w:tcPr>
            <w:tcW w:w="0" w:type="auto"/>
            <w:noWrap/>
            <w:hideMark/>
          </w:tcPr>
          <w:p w14:paraId="538C3C0D" w14:textId="77777777" w:rsidR="00612A57" w:rsidRPr="006106A9" w:rsidRDefault="00612A57" w:rsidP="000708DB">
            <w:pPr>
              <w:jc w:val="center"/>
            </w:pPr>
            <w:r w:rsidRPr="003E54A3">
              <w:t>0.353</w:t>
            </w:r>
          </w:p>
        </w:tc>
      </w:tr>
      <w:tr w:rsidR="00612A57" w:rsidRPr="006106A9" w14:paraId="597EC91A" w14:textId="77777777" w:rsidTr="000708DB">
        <w:trPr>
          <w:trHeight w:val="300"/>
        </w:trPr>
        <w:tc>
          <w:tcPr>
            <w:tcW w:w="0" w:type="auto"/>
            <w:noWrap/>
            <w:hideMark/>
          </w:tcPr>
          <w:p w14:paraId="0B36C6B1" w14:textId="77777777" w:rsidR="00612A57" w:rsidRPr="006106A9" w:rsidRDefault="00612A57" w:rsidP="000708DB">
            <w:pPr>
              <w:jc w:val="both"/>
            </w:pPr>
            <w:r w:rsidRPr="006106A9">
              <w:t>LORE</w:t>
            </w:r>
          </w:p>
        </w:tc>
        <w:tc>
          <w:tcPr>
            <w:tcW w:w="0" w:type="auto"/>
            <w:noWrap/>
            <w:hideMark/>
          </w:tcPr>
          <w:p w14:paraId="4F713317" w14:textId="77777777" w:rsidR="00612A57" w:rsidRPr="006106A9" w:rsidRDefault="00612A57" w:rsidP="000708DB">
            <w:pPr>
              <w:jc w:val="center"/>
            </w:pPr>
            <w:r w:rsidRPr="003E54A3">
              <w:t>0.452</w:t>
            </w:r>
          </w:p>
        </w:tc>
        <w:tc>
          <w:tcPr>
            <w:tcW w:w="0" w:type="auto"/>
            <w:noWrap/>
            <w:hideMark/>
          </w:tcPr>
          <w:p w14:paraId="44C1DB70" w14:textId="77777777" w:rsidR="00612A57" w:rsidRPr="006106A9" w:rsidRDefault="00612A57" w:rsidP="000708DB">
            <w:pPr>
              <w:jc w:val="center"/>
            </w:pPr>
            <w:r w:rsidRPr="003E54A3">
              <w:t>0.430</w:t>
            </w:r>
          </w:p>
        </w:tc>
        <w:tc>
          <w:tcPr>
            <w:tcW w:w="0" w:type="auto"/>
            <w:noWrap/>
            <w:hideMark/>
          </w:tcPr>
          <w:p w14:paraId="5C0C289C" w14:textId="77777777" w:rsidR="00612A57" w:rsidRPr="006106A9" w:rsidRDefault="00612A57" w:rsidP="000708DB">
            <w:pPr>
              <w:jc w:val="center"/>
            </w:pPr>
            <w:r w:rsidRPr="003E54A3">
              <w:t>0.439</w:t>
            </w:r>
          </w:p>
        </w:tc>
      </w:tr>
      <w:tr w:rsidR="00612A57" w:rsidRPr="006106A9" w14:paraId="1805A5F1" w14:textId="77777777" w:rsidTr="000708DB">
        <w:trPr>
          <w:trHeight w:val="300"/>
        </w:trPr>
        <w:tc>
          <w:tcPr>
            <w:tcW w:w="0" w:type="auto"/>
            <w:noWrap/>
            <w:hideMark/>
          </w:tcPr>
          <w:p w14:paraId="6FF5E1E1" w14:textId="77777777" w:rsidR="00612A57" w:rsidRPr="006106A9" w:rsidRDefault="00612A57" w:rsidP="000708DB">
            <w:pPr>
              <w:jc w:val="both"/>
            </w:pPr>
            <w:r w:rsidRPr="006106A9">
              <w:t>LORH</w:t>
            </w:r>
          </w:p>
        </w:tc>
        <w:tc>
          <w:tcPr>
            <w:tcW w:w="0" w:type="auto"/>
            <w:noWrap/>
            <w:hideMark/>
          </w:tcPr>
          <w:p w14:paraId="46E7631C" w14:textId="77777777" w:rsidR="00612A57" w:rsidRPr="006106A9" w:rsidRDefault="00612A57" w:rsidP="000708DB">
            <w:pPr>
              <w:jc w:val="center"/>
            </w:pPr>
            <w:r w:rsidRPr="003E54A3">
              <w:t>0.296</w:t>
            </w:r>
          </w:p>
        </w:tc>
        <w:tc>
          <w:tcPr>
            <w:tcW w:w="0" w:type="auto"/>
            <w:noWrap/>
            <w:hideMark/>
          </w:tcPr>
          <w:p w14:paraId="35D1F214" w14:textId="77777777" w:rsidR="00612A57" w:rsidRPr="006106A9" w:rsidRDefault="00612A57" w:rsidP="000708DB">
            <w:pPr>
              <w:jc w:val="center"/>
            </w:pPr>
            <w:r w:rsidRPr="003E54A3">
              <w:t>0.311</w:t>
            </w:r>
          </w:p>
        </w:tc>
        <w:tc>
          <w:tcPr>
            <w:tcW w:w="0" w:type="auto"/>
            <w:noWrap/>
            <w:hideMark/>
          </w:tcPr>
          <w:p w14:paraId="5240B8FD" w14:textId="77777777" w:rsidR="00612A57" w:rsidRPr="006106A9" w:rsidRDefault="00612A57" w:rsidP="000708DB">
            <w:pPr>
              <w:jc w:val="center"/>
            </w:pPr>
            <w:r w:rsidRPr="003E54A3">
              <w:t>0.307</w:t>
            </w:r>
          </w:p>
        </w:tc>
      </w:tr>
      <w:tr w:rsidR="00612A57" w:rsidRPr="006106A9" w14:paraId="4BC1B108" w14:textId="77777777" w:rsidTr="000708DB">
        <w:trPr>
          <w:trHeight w:val="300"/>
        </w:trPr>
        <w:tc>
          <w:tcPr>
            <w:tcW w:w="0" w:type="auto"/>
            <w:noWrap/>
            <w:hideMark/>
          </w:tcPr>
          <w:p w14:paraId="2BBBD4D6" w14:textId="77777777" w:rsidR="00612A57" w:rsidRPr="006106A9" w:rsidRDefault="00612A57" w:rsidP="000708DB">
            <w:pPr>
              <w:jc w:val="both"/>
            </w:pPr>
            <w:r w:rsidRPr="006106A9">
              <w:t>LO1E</w:t>
            </w:r>
          </w:p>
        </w:tc>
        <w:tc>
          <w:tcPr>
            <w:tcW w:w="0" w:type="auto"/>
            <w:noWrap/>
            <w:hideMark/>
          </w:tcPr>
          <w:p w14:paraId="5FE0D7C1" w14:textId="77777777" w:rsidR="00612A57" w:rsidRPr="006106A9" w:rsidRDefault="00612A57" w:rsidP="000708DB">
            <w:pPr>
              <w:jc w:val="center"/>
            </w:pPr>
            <w:r w:rsidRPr="003E54A3">
              <w:t>0.476</w:t>
            </w:r>
          </w:p>
        </w:tc>
        <w:tc>
          <w:tcPr>
            <w:tcW w:w="0" w:type="auto"/>
            <w:noWrap/>
            <w:hideMark/>
          </w:tcPr>
          <w:p w14:paraId="4FC1E1ED" w14:textId="77777777" w:rsidR="00612A57" w:rsidRPr="006106A9" w:rsidRDefault="00612A57" w:rsidP="000708DB">
            <w:pPr>
              <w:jc w:val="center"/>
            </w:pPr>
            <w:r w:rsidRPr="003E54A3">
              <w:t>0.480</w:t>
            </w:r>
          </w:p>
        </w:tc>
        <w:tc>
          <w:tcPr>
            <w:tcW w:w="0" w:type="auto"/>
            <w:noWrap/>
            <w:hideMark/>
          </w:tcPr>
          <w:p w14:paraId="5C0520A1" w14:textId="77777777" w:rsidR="00612A57" w:rsidRPr="006106A9" w:rsidRDefault="00612A57" w:rsidP="000708DB">
            <w:pPr>
              <w:jc w:val="center"/>
            </w:pPr>
            <w:r w:rsidRPr="003E54A3">
              <w:t>0.470</w:t>
            </w:r>
          </w:p>
        </w:tc>
      </w:tr>
      <w:tr w:rsidR="00612A57" w:rsidRPr="006106A9" w14:paraId="170EB56D" w14:textId="77777777" w:rsidTr="000708DB">
        <w:trPr>
          <w:trHeight w:val="300"/>
        </w:trPr>
        <w:tc>
          <w:tcPr>
            <w:tcW w:w="0" w:type="auto"/>
            <w:shd w:val="clear" w:color="auto" w:fill="D9D9D9" w:themeFill="background1" w:themeFillShade="D9"/>
            <w:noWrap/>
            <w:hideMark/>
          </w:tcPr>
          <w:p w14:paraId="60B15300" w14:textId="77777777" w:rsidR="00612A57" w:rsidRPr="006106A9" w:rsidRDefault="00612A57" w:rsidP="000708DB">
            <w:pPr>
              <w:jc w:val="both"/>
            </w:pPr>
            <w:r w:rsidRPr="006106A9">
              <w:t>CV1 + LO1Y</w:t>
            </w:r>
          </w:p>
        </w:tc>
        <w:tc>
          <w:tcPr>
            <w:tcW w:w="0" w:type="auto"/>
            <w:shd w:val="clear" w:color="auto" w:fill="D9D9D9" w:themeFill="background1" w:themeFillShade="D9"/>
            <w:noWrap/>
            <w:hideMark/>
          </w:tcPr>
          <w:p w14:paraId="0DCA11B4" w14:textId="77777777" w:rsidR="00612A57" w:rsidRPr="006106A9" w:rsidRDefault="00612A57" w:rsidP="000708DB">
            <w:pPr>
              <w:jc w:val="center"/>
            </w:pPr>
            <w:r w:rsidRPr="003E54A3">
              <w:t>0.347</w:t>
            </w:r>
          </w:p>
        </w:tc>
        <w:tc>
          <w:tcPr>
            <w:tcW w:w="0" w:type="auto"/>
            <w:shd w:val="clear" w:color="auto" w:fill="D9D9D9" w:themeFill="background1" w:themeFillShade="D9"/>
            <w:noWrap/>
            <w:hideMark/>
          </w:tcPr>
          <w:p w14:paraId="1C15CCAE" w14:textId="77777777" w:rsidR="00612A57" w:rsidRPr="006106A9" w:rsidRDefault="00612A57" w:rsidP="000708DB">
            <w:pPr>
              <w:jc w:val="center"/>
            </w:pPr>
            <w:r w:rsidRPr="003E54A3">
              <w:t>0.352</w:t>
            </w:r>
          </w:p>
        </w:tc>
        <w:tc>
          <w:tcPr>
            <w:tcW w:w="0" w:type="auto"/>
            <w:shd w:val="clear" w:color="auto" w:fill="D9D9D9" w:themeFill="background1" w:themeFillShade="D9"/>
            <w:noWrap/>
            <w:hideMark/>
          </w:tcPr>
          <w:p w14:paraId="0B5A0216" w14:textId="77777777" w:rsidR="00612A57" w:rsidRPr="006106A9" w:rsidRDefault="00612A57" w:rsidP="000708DB">
            <w:pPr>
              <w:jc w:val="center"/>
            </w:pPr>
            <w:r w:rsidRPr="003E54A3">
              <w:t>0.340</w:t>
            </w:r>
          </w:p>
        </w:tc>
      </w:tr>
      <w:tr w:rsidR="00612A57" w:rsidRPr="006106A9" w14:paraId="482FAC27" w14:textId="77777777" w:rsidTr="000708DB">
        <w:trPr>
          <w:trHeight w:val="300"/>
        </w:trPr>
        <w:tc>
          <w:tcPr>
            <w:tcW w:w="0" w:type="auto"/>
            <w:shd w:val="clear" w:color="auto" w:fill="D9D9D9" w:themeFill="background1" w:themeFillShade="D9"/>
            <w:noWrap/>
            <w:hideMark/>
          </w:tcPr>
          <w:p w14:paraId="2A52C940" w14:textId="77777777" w:rsidR="00612A57" w:rsidRPr="006106A9" w:rsidRDefault="00612A57" w:rsidP="000708DB">
            <w:pPr>
              <w:jc w:val="both"/>
            </w:pPr>
            <w:r w:rsidRPr="006106A9">
              <w:t>LORH + LO1Y</w:t>
            </w:r>
          </w:p>
        </w:tc>
        <w:tc>
          <w:tcPr>
            <w:tcW w:w="0" w:type="auto"/>
            <w:shd w:val="clear" w:color="auto" w:fill="D9D9D9" w:themeFill="background1" w:themeFillShade="D9"/>
            <w:noWrap/>
            <w:hideMark/>
          </w:tcPr>
          <w:p w14:paraId="44FF6DFF" w14:textId="77777777" w:rsidR="00612A57" w:rsidRPr="006106A9" w:rsidRDefault="00612A57" w:rsidP="000708DB">
            <w:pPr>
              <w:jc w:val="center"/>
            </w:pPr>
            <w:r w:rsidRPr="003E54A3">
              <w:t>0.252</w:t>
            </w:r>
          </w:p>
        </w:tc>
        <w:tc>
          <w:tcPr>
            <w:tcW w:w="0" w:type="auto"/>
            <w:shd w:val="clear" w:color="auto" w:fill="D9D9D9" w:themeFill="background1" w:themeFillShade="D9"/>
            <w:noWrap/>
            <w:hideMark/>
          </w:tcPr>
          <w:p w14:paraId="162BAFFF" w14:textId="77777777" w:rsidR="00612A57" w:rsidRPr="006106A9" w:rsidRDefault="00612A57" w:rsidP="000708DB">
            <w:pPr>
              <w:jc w:val="center"/>
            </w:pPr>
            <w:r w:rsidRPr="003E54A3">
              <w:t>0.258</w:t>
            </w:r>
          </w:p>
        </w:tc>
        <w:tc>
          <w:tcPr>
            <w:tcW w:w="0" w:type="auto"/>
            <w:shd w:val="clear" w:color="auto" w:fill="D9D9D9" w:themeFill="background1" w:themeFillShade="D9"/>
            <w:noWrap/>
            <w:hideMark/>
          </w:tcPr>
          <w:p w14:paraId="250B93BE" w14:textId="77777777" w:rsidR="00612A57" w:rsidRPr="006106A9" w:rsidRDefault="00612A57" w:rsidP="000708DB">
            <w:pPr>
              <w:jc w:val="center"/>
            </w:pPr>
            <w:r w:rsidRPr="003E54A3">
              <w:t>0.234</w:t>
            </w:r>
          </w:p>
        </w:tc>
      </w:tr>
      <w:tr w:rsidR="00612A57" w:rsidRPr="006106A9" w14:paraId="6E257EB9" w14:textId="77777777" w:rsidTr="000708DB">
        <w:trPr>
          <w:trHeight w:val="300"/>
        </w:trPr>
        <w:tc>
          <w:tcPr>
            <w:tcW w:w="0" w:type="auto"/>
            <w:shd w:val="clear" w:color="auto" w:fill="D9D9D9" w:themeFill="background1" w:themeFillShade="D9"/>
            <w:noWrap/>
            <w:hideMark/>
          </w:tcPr>
          <w:p w14:paraId="67EC1C9F" w14:textId="77777777" w:rsidR="00612A57" w:rsidRPr="006106A9" w:rsidRDefault="00612A57" w:rsidP="000708DB">
            <w:pPr>
              <w:jc w:val="both"/>
            </w:pPr>
            <w:r w:rsidRPr="006106A9">
              <w:t>CV1 + LORE</w:t>
            </w:r>
          </w:p>
        </w:tc>
        <w:tc>
          <w:tcPr>
            <w:tcW w:w="0" w:type="auto"/>
            <w:shd w:val="clear" w:color="auto" w:fill="D9D9D9" w:themeFill="background1" w:themeFillShade="D9"/>
            <w:noWrap/>
            <w:hideMark/>
          </w:tcPr>
          <w:p w14:paraId="6812F266" w14:textId="77777777" w:rsidR="00612A57" w:rsidRPr="006106A9" w:rsidRDefault="00612A57" w:rsidP="000708DB">
            <w:pPr>
              <w:jc w:val="center"/>
            </w:pPr>
            <w:r w:rsidRPr="003E54A3">
              <w:t>0.401</w:t>
            </w:r>
          </w:p>
        </w:tc>
        <w:tc>
          <w:tcPr>
            <w:tcW w:w="0" w:type="auto"/>
            <w:shd w:val="clear" w:color="auto" w:fill="D9D9D9" w:themeFill="background1" w:themeFillShade="D9"/>
            <w:noWrap/>
            <w:hideMark/>
          </w:tcPr>
          <w:p w14:paraId="39EA2FD0" w14:textId="77777777" w:rsidR="00612A57" w:rsidRPr="006106A9" w:rsidRDefault="00612A57" w:rsidP="000708DB">
            <w:pPr>
              <w:jc w:val="center"/>
            </w:pPr>
            <w:r w:rsidRPr="003E54A3">
              <w:t>0.380</w:t>
            </w:r>
          </w:p>
        </w:tc>
        <w:tc>
          <w:tcPr>
            <w:tcW w:w="0" w:type="auto"/>
            <w:shd w:val="clear" w:color="auto" w:fill="D9D9D9" w:themeFill="background1" w:themeFillShade="D9"/>
            <w:noWrap/>
            <w:hideMark/>
          </w:tcPr>
          <w:p w14:paraId="68390298" w14:textId="77777777" w:rsidR="00612A57" w:rsidRPr="006106A9" w:rsidRDefault="00612A57" w:rsidP="000708DB">
            <w:pPr>
              <w:jc w:val="center"/>
            </w:pPr>
            <w:r w:rsidRPr="003E54A3">
              <w:t>0.386</w:t>
            </w:r>
          </w:p>
        </w:tc>
      </w:tr>
      <w:tr w:rsidR="00612A57" w:rsidRPr="006106A9" w14:paraId="1CBF4DC4" w14:textId="77777777" w:rsidTr="000708DB">
        <w:trPr>
          <w:trHeight w:val="300"/>
        </w:trPr>
        <w:tc>
          <w:tcPr>
            <w:tcW w:w="0" w:type="auto"/>
            <w:shd w:val="clear" w:color="auto" w:fill="D9D9D9" w:themeFill="background1" w:themeFillShade="D9"/>
            <w:noWrap/>
            <w:hideMark/>
          </w:tcPr>
          <w:p w14:paraId="2F7B6290" w14:textId="77777777" w:rsidR="00612A57" w:rsidRPr="006106A9" w:rsidRDefault="00612A57" w:rsidP="000708DB">
            <w:pPr>
              <w:jc w:val="both"/>
            </w:pPr>
            <w:r w:rsidRPr="006106A9">
              <w:t>LORH + LORE</w:t>
            </w:r>
          </w:p>
        </w:tc>
        <w:tc>
          <w:tcPr>
            <w:tcW w:w="0" w:type="auto"/>
            <w:shd w:val="clear" w:color="auto" w:fill="D9D9D9" w:themeFill="background1" w:themeFillShade="D9"/>
            <w:noWrap/>
            <w:hideMark/>
          </w:tcPr>
          <w:p w14:paraId="2B8102C2" w14:textId="77777777" w:rsidR="00612A57" w:rsidRPr="006106A9" w:rsidRDefault="00612A57" w:rsidP="000708DB">
            <w:pPr>
              <w:jc w:val="center"/>
            </w:pPr>
            <w:r w:rsidRPr="003E54A3">
              <w:t>0.285</w:t>
            </w:r>
          </w:p>
        </w:tc>
        <w:tc>
          <w:tcPr>
            <w:tcW w:w="0" w:type="auto"/>
            <w:shd w:val="clear" w:color="auto" w:fill="D9D9D9" w:themeFill="background1" w:themeFillShade="D9"/>
            <w:noWrap/>
            <w:hideMark/>
          </w:tcPr>
          <w:p w14:paraId="0F539B28" w14:textId="77777777" w:rsidR="00612A57" w:rsidRPr="006106A9" w:rsidRDefault="00612A57" w:rsidP="000708DB">
            <w:pPr>
              <w:jc w:val="center"/>
            </w:pPr>
            <w:r w:rsidRPr="003E54A3">
              <w:t>0.278</w:t>
            </w:r>
          </w:p>
        </w:tc>
        <w:tc>
          <w:tcPr>
            <w:tcW w:w="0" w:type="auto"/>
            <w:shd w:val="clear" w:color="auto" w:fill="D9D9D9" w:themeFill="background1" w:themeFillShade="D9"/>
            <w:noWrap/>
            <w:hideMark/>
          </w:tcPr>
          <w:p w14:paraId="1573F65F" w14:textId="77777777" w:rsidR="00612A57" w:rsidRPr="006106A9" w:rsidRDefault="00612A57" w:rsidP="000708DB">
            <w:pPr>
              <w:jc w:val="center"/>
            </w:pPr>
            <w:r w:rsidRPr="003E54A3">
              <w:t>0.269</w:t>
            </w:r>
          </w:p>
        </w:tc>
      </w:tr>
    </w:tbl>
    <w:p w14:paraId="721714F8" w14:textId="77777777" w:rsidR="00612A57" w:rsidRDefault="00612A57" w:rsidP="00612A57"/>
    <w:p w14:paraId="7A8C53D8" w14:textId="77777777" w:rsidR="00612A57" w:rsidRDefault="00612A57" w:rsidP="00612A57">
      <w:pPr>
        <w:spacing w:line="480" w:lineRule="auto"/>
        <w:jc w:val="both"/>
      </w:pPr>
    </w:p>
    <w:p w14:paraId="52AC2C39" w14:textId="37DB4167" w:rsidR="00A70488" w:rsidRDefault="00612A57"/>
    <w:sectPr w:rsidR="00A70488" w:rsidSect="001D0DA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57"/>
    <w:rsid w:val="00612A57"/>
    <w:rsid w:val="007D6603"/>
    <w:rsid w:val="00EC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91EE"/>
  <w15:chartTrackingRefBased/>
  <w15:docId w15:val="{F0D74271-FA48-4F19-9C40-0DA91B7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57"/>
  </w:style>
  <w:style w:type="paragraph" w:styleId="Heading1">
    <w:name w:val="heading 1"/>
    <w:basedOn w:val="Normal"/>
    <w:next w:val="Normal"/>
    <w:link w:val="Heading1Char"/>
    <w:uiPriority w:val="9"/>
    <w:qFormat/>
    <w:rsid w:val="00612A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5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1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12A57"/>
  </w:style>
  <w:style w:type="paragraph" w:styleId="Title">
    <w:name w:val="Title"/>
    <w:basedOn w:val="Normal"/>
    <w:next w:val="Normal"/>
    <w:link w:val="TitleChar"/>
    <w:uiPriority w:val="10"/>
    <w:qFormat/>
    <w:rsid w:val="00612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Holland</dc:creator>
  <cp:keywords/>
  <dc:description/>
  <cp:lastModifiedBy>James Holland</cp:lastModifiedBy>
  <cp:revision>1</cp:revision>
  <dcterms:created xsi:type="dcterms:W3CDTF">2021-12-16T21:52:00Z</dcterms:created>
  <dcterms:modified xsi:type="dcterms:W3CDTF">2021-12-16T21:55:00Z</dcterms:modified>
</cp:coreProperties>
</file>