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652F" w14:textId="77777777" w:rsidR="00E96171" w:rsidRDefault="00E96171" w:rsidP="00E96171">
      <w:pPr>
        <w:jc w:val="center"/>
        <w:rPr>
          <w:rFonts w:ascii="Arial" w:hAnsi="Arial" w:cs="Arial"/>
          <w:b/>
          <w:bCs/>
          <w:sz w:val="20"/>
          <w:szCs w:val="20"/>
        </w:rPr>
      </w:pPr>
      <w:r>
        <w:rPr>
          <w:rFonts w:ascii="Arial" w:hAnsi="Arial" w:cs="Arial"/>
          <w:b/>
          <w:bCs/>
          <w:sz w:val="20"/>
          <w:szCs w:val="20"/>
        </w:rPr>
        <w:t>SUPPLEMENTARY FIGURE CAPTIONS</w:t>
      </w:r>
    </w:p>
    <w:p w14:paraId="3E4270D3" w14:textId="77777777" w:rsidR="00E96171" w:rsidRPr="00BF360C" w:rsidRDefault="00E96171" w:rsidP="00E96171">
      <w:pPr>
        <w:rPr>
          <w:rFonts w:ascii="Arial" w:hAnsi="Arial" w:cs="Arial"/>
          <w:b/>
          <w:bCs/>
          <w:sz w:val="20"/>
          <w:szCs w:val="20"/>
        </w:rPr>
      </w:pPr>
    </w:p>
    <w:p w14:paraId="15EF23B3" w14:textId="77777777" w:rsidR="00E96171" w:rsidRDefault="00E96171" w:rsidP="00E96171">
      <w:pPr>
        <w:rPr>
          <w:rFonts w:ascii="Arial" w:hAnsi="Arial" w:cs="Arial"/>
          <w:b/>
          <w:bCs/>
          <w:noProof/>
          <w:sz w:val="20"/>
          <w:szCs w:val="20"/>
        </w:rPr>
      </w:pPr>
      <w:r w:rsidRPr="008373C2">
        <w:rPr>
          <w:rFonts w:ascii="Arial" w:hAnsi="Arial" w:cs="Arial"/>
          <w:b/>
          <w:color w:val="000000"/>
          <w:sz w:val="20"/>
          <w:szCs w:val="20"/>
        </w:rPr>
        <w:t>Supplementary Figure 1. Making barcoded hemizygotes in a yeast hybrid background for RH-seq.</w:t>
      </w:r>
      <w:r w:rsidRPr="008373C2">
        <w:rPr>
          <w:rFonts w:ascii="Arial" w:hAnsi="Arial" w:cs="Arial"/>
          <w:color w:val="000000"/>
          <w:sz w:val="20"/>
          <w:szCs w:val="20"/>
        </w:rPr>
        <w:t xml:space="preserve"> (A) A pool of random N20 barcodes (colors), each flanked by universal priming sites (U1 and U2), was used as input into a PCR with primers containing recognition sites for the BbsI type IIS restriction enzyme. (B) In a plasmid harboring an un-barcoded piggyBac transposon (gray rectangle) (the kanamycin resistance cassette, </w:t>
      </w:r>
      <w:proofErr w:type="spellStart"/>
      <w:r w:rsidRPr="008373C2">
        <w:rPr>
          <w:rFonts w:ascii="Arial" w:hAnsi="Arial" w:cs="Arial"/>
          <w:color w:val="000000"/>
          <w:sz w:val="20"/>
          <w:szCs w:val="20"/>
        </w:rPr>
        <w:t>kan</w:t>
      </w:r>
      <w:r w:rsidRPr="008373C2">
        <w:rPr>
          <w:rFonts w:ascii="Arial" w:hAnsi="Arial" w:cs="Arial"/>
          <w:color w:val="000000"/>
          <w:sz w:val="20"/>
          <w:szCs w:val="20"/>
          <w:vertAlign w:val="superscript"/>
        </w:rPr>
        <w:t>R</w:t>
      </w:r>
      <w:proofErr w:type="spellEnd"/>
      <w:r w:rsidRPr="008373C2">
        <w:rPr>
          <w:rFonts w:ascii="Arial" w:hAnsi="Arial" w:cs="Arial"/>
          <w:color w:val="000000"/>
          <w:sz w:val="20"/>
          <w:szCs w:val="20"/>
        </w:rPr>
        <w:t xml:space="preserve">, flanked by left and right transposon arms) and transposase (teal rectangle) </w:t>
      </w:r>
      <w:r w:rsidRPr="008373C2">
        <w:rPr>
          <w:rFonts w:ascii="Arial" w:hAnsi="Arial" w:cs="Arial"/>
          <w:color w:val="000000"/>
          <w:sz w:val="20"/>
          <w:szCs w:val="20"/>
        </w:rPr>
        <w:fldChar w:fldCharType="begin"/>
      </w:r>
      <w:r w:rsidRPr="008373C2">
        <w:rPr>
          <w:rFonts w:ascii="Arial" w:hAnsi="Arial" w:cs="Arial"/>
          <w:color w:val="000000"/>
          <w:sz w:val="20"/>
          <w:szCs w:val="20"/>
        </w:rPr>
        <w:instrText xml:space="preserve"> ADDIN ZOTERO_ITEM CSL_CITATION {"citationID":"HeKiH5YB","properties":{"formattedCitation":"(Weiss et al. 2018)","plainCitation":"(Weiss et al. 2018)","noteIndex":0},"citationItems":[{"id":37,"uris":["http://zotero.org/users/4689184/items/VAKLC355"],"uri":["http://zotero.org/users/4689184/items/VAKLC355"],"itemData":{"id":37,"type":"article-journal","abstract":"A mapping approach that screens mutants in a sterile interspecific hybrid identifies the genetic determinants of differences in high-temperature growth between divergent Saccharomyces cerevisiae and Saccharomyces paradoxus yeast species.","container-title":"Nature Genetics","DOI":"10.1038/s41588-018-0243-4","ISSN":"1546-1718","issue":"11","language":"En","page":"1501","source":"www.nature.com","title":"Genetic dissection of interspecific differences in yeast thermotolerance","volume":"50","author":[{"family":"Weiss","given":"Carly V."},{"family":"Roop","given":"Jeremy I."},{"family":"Hackley","given":"Rylee K."},{"family":"Chuong","given":"Julie N."},{"family":"Grigoriev","given":"Igor V."},{"family":"Arkin","given":"Adam P."},{"family":"Skerker","given":"Jeffrey M."},{"family":"Brem","given":"Rachel B."}],"issued":{"date-parts":[["2018",11]]}}}],"schema":"https://github.com/citation-style-language/schema/raw/master/csl-citation.json"} </w:instrText>
      </w:r>
      <w:r w:rsidRPr="008373C2">
        <w:rPr>
          <w:rFonts w:ascii="Arial" w:hAnsi="Arial" w:cs="Arial"/>
          <w:color w:val="000000"/>
          <w:sz w:val="20"/>
          <w:szCs w:val="20"/>
        </w:rPr>
        <w:fldChar w:fldCharType="separate"/>
      </w:r>
      <w:r w:rsidRPr="008373C2">
        <w:rPr>
          <w:rFonts w:ascii="Arial" w:hAnsi="Arial" w:cs="Arial"/>
          <w:sz w:val="20"/>
          <w:szCs w:val="20"/>
        </w:rPr>
        <w:t>(Weiss et al. 2018)</w:t>
      </w:r>
      <w:r w:rsidRPr="008373C2">
        <w:rPr>
          <w:rFonts w:ascii="Arial" w:hAnsi="Arial" w:cs="Arial"/>
          <w:color w:val="000000"/>
          <w:sz w:val="20"/>
          <w:szCs w:val="20"/>
        </w:rPr>
        <w:fldChar w:fldCharType="end"/>
      </w:r>
      <w:r w:rsidRPr="008373C2">
        <w:rPr>
          <w:rFonts w:ascii="Arial" w:hAnsi="Arial" w:cs="Arial"/>
          <w:color w:val="000000"/>
          <w:sz w:val="20"/>
          <w:szCs w:val="20"/>
        </w:rPr>
        <w:t xml:space="preserve">, a 42 nucleotide stuffer sequence, consisting of two BbsI restriction enzyme sites flanking a NotI restriction enzyme site and custom overhang sequences </w:t>
      </w:r>
      <w:r w:rsidRPr="008373C2">
        <w:rPr>
          <w:rFonts w:ascii="Arial" w:hAnsi="Arial" w:cs="Arial"/>
          <w:color w:val="000000"/>
          <w:sz w:val="20"/>
          <w:szCs w:val="20"/>
        </w:rPr>
        <w:fldChar w:fldCharType="begin"/>
      </w:r>
      <w:r w:rsidRPr="008373C2">
        <w:rPr>
          <w:rFonts w:ascii="Arial" w:hAnsi="Arial" w:cs="Arial"/>
          <w:color w:val="000000"/>
          <w:sz w:val="20"/>
          <w:szCs w:val="20"/>
        </w:rPr>
        <w:instrText xml:space="preserve"> ADDIN ZOTERO_ITEM CSL_CITATION {"citationID":"JALObRT8","properties":{"formattedCitation":"(Lee et al. 2015)","plainCitation":"(Lee et al. 2015)","noteIndex":0},"citationItems":[{"id":578,"uris":["http://zotero.org/users/4689184/items/Z73M5VCD"],"uri":["http://zotero.org/users/4689184/items/Z73M5VCD"],"itemData":{"id":578,"type":"article-journal","abstract":"Saccharomyces cerevisiae is an increasingly attractive host for synthetic biology because of its long history in industrial fermentations. However, until recently, most synthetic biology systems have focused on bacteria. While there is a wealth of resources and literature about the biology of yeast, it can be daunting to navigate and extract the tools needed for engineering applications. Here we present a versatile engineering platform for yeast, which contains both a rapid, modular assembly method and a basic set of characterized parts. This platform provides a framework in which to create new designs, as well as data on promoters, terminators, degradation tags, and copy number to inform those designs. Additionally, we describe genome-editing tools for making modifications directly to the yeast chromosomes, which we find preferable to plasmids due to reduced variability in expression. With this toolkit, we strive to simplify the process of engineering yeast by standardizing the physical manipulations and suggesting best practices that together will enable more straightforward translation of materials and data from one group to another. Additionally, by relieving researchers of the burden of technical details, they can focus on higher-level aspects of experimental design.","container-title":"ACS Synthetic Biology","DOI":"10.1021/sb500366v","issue":"9","journalAbbreviation":"ACS Synth. Biol.","note":"publisher: American Chemical Society","page":"975-986","source":"ACS Publications","title":"A Highly Characterized Yeast Toolkit for Modular, Multipart Assembly","volume":"4","author":[{"family":"Lee","given":"Michael E."},{"family":"DeLoache","given":"William C."},{"family":"Cervantes","given":"Bernardo"},{"family":"Dueber","given":"John E."}],"issued":{"date-parts":[["2015",9,18]]}}}],"schema":"https://github.com/citation-style-language/schema/raw/master/csl-citation.json"} </w:instrText>
      </w:r>
      <w:r w:rsidRPr="008373C2">
        <w:rPr>
          <w:rFonts w:ascii="Arial" w:hAnsi="Arial" w:cs="Arial"/>
          <w:color w:val="000000"/>
          <w:sz w:val="20"/>
          <w:szCs w:val="20"/>
        </w:rPr>
        <w:fldChar w:fldCharType="separate"/>
      </w:r>
      <w:r w:rsidRPr="008373C2">
        <w:rPr>
          <w:rFonts w:ascii="Arial" w:hAnsi="Arial" w:cs="Arial"/>
          <w:sz w:val="20"/>
          <w:szCs w:val="20"/>
        </w:rPr>
        <w:t>(Lee et al. 2015)</w:t>
      </w:r>
      <w:r w:rsidRPr="008373C2">
        <w:rPr>
          <w:rFonts w:ascii="Arial" w:hAnsi="Arial" w:cs="Arial"/>
          <w:color w:val="000000"/>
          <w:sz w:val="20"/>
          <w:szCs w:val="20"/>
        </w:rPr>
        <w:fldChar w:fldCharType="end"/>
      </w:r>
      <w:r w:rsidRPr="008373C2">
        <w:rPr>
          <w:rFonts w:ascii="Arial" w:hAnsi="Arial" w:cs="Arial"/>
          <w:color w:val="000000"/>
          <w:sz w:val="20"/>
          <w:szCs w:val="20"/>
        </w:rPr>
        <w:t xml:space="preserve">, replaced 42 nucleotides in the right arm of the </w:t>
      </w:r>
      <w:r w:rsidRPr="008373C2">
        <w:rPr>
          <w:rFonts w:ascii="Arial" w:hAnsi="Arial" w:cs="Arial"/>
          <w:iCs/>
          <w:color w:val="000000"/>
          <w:sz w:val="20"/>
          <w:szCs w:val="20"/>
        </w:rPr>
        <w:t>transposon</w:t>
      </w:r>
      <w:r w:rsidRPr="008373C2">
        <w:rPr>
          <w:rFonts w:ascii="Arial" w:hAnsi="Arial" w:cs="Arial"/>
          <w:color w:val="000000"/>
          <w:sz w:val="20"/>
          <w:szCs w:val="20"/>
        </w:rPr>
        <w:t xml:space="preserve">. (C) BbsI digestion of the barcodes and stuffer-containing plasmid, followed by stuffer loss and ligation of a barcode into each plasmid, yielded a pool of barcoded plasmids. (D) Transformation of the barcoded transposase plasmid into </w:t>
      </w:r>
      <w:r w:rsidRPr="008373C2">
        <w:rPr>
          <w:rFonts w:ascii="Arial" w:hAnsi="Arial" w:cs="Arial"/>
          <w:i/>
          <w:color w:val="000000"/>
          <w:sz w:val="20"/>
          <w:szCs w:val="20"/>
        </w:rPr>
        <w:t>S. cerevisiae</w:t>
      </w:r>
      <w:r w:rsidRPr="008373C2">
        <w:rPr>
          <w:rFonts w:ascii="Arial" w:hAnsi="Arial" w:cs="Arial"/>
          <w:color w:val="000000"/>
          <w:sz w:val="20"/>
          <w:szCs w:val="20"/>
        </w:rPr>
        <w:t xml:space="preserve"> x </w:t>
      </w:r>
      <w:r w:rsidRPr="008373C2">
        <w:rPr>
          <w:rFonts w:ascii="Arial" w:hAnsi="Arial" w:cs="Arial"/>
          <w:i/>
          <w:color w:val="000000"/>
          <w:sz w:val="20"/>
          <w:szCs w:val="20"/>
        </w:rPr>
        <w:t>S. paradoxus</w:t>
      </w:r>
      <w:r w:rsidRPr="008373C2">
        <w:rPr>
          <w:rFonts w:ascii="Arial" w:hAnsi="Arial" w:cs="Arial"/>
          <w:color w:val="000000"/>
          <w:sz w:val="20"/>
          <w:szCs w:val="20"/>
        </w:rPr>
        <w:t xml:space="preserve"> hybrids, followed by transposition and plasmid loss, yielded a pool of marked transposon hemizygote </w:t>
      </w:r>
      <w:r>
        <w:rPr>
          <w:rFonts w:ascii="Arial" w:hAnsi="Arial" w:cs="Arial"/>
          <w:color w:val="000000"/>
          <w:sz w:val="20"/>
          <w:szCs w:val="20"/>
        </w:rPr>
        <w:t>insertion genotypes</w:t>
      </w:r>
      <w:r w:rsidRPr="008373C2">
        <w:rPr>
          <w:rFonts w:ascii="Arial" w:hAnsi="Arial" w:cs="Arial"/>
          <w:color w:val="000000"/>
          <w:sz w:val="20"/>
          <w:szCs w:val="20"/>
        </w:rPr>
        <w:t xml:space="preserve"> in the hybrid background.</w:t>
      </w:r>
    </w:p>
    <w:p w14:paraId="123943BA" w14:textId="77777777" w:rsidR="00E96171" w:rsidRDefault="00E96171" w:rsidP="00E96171">
      <w:pPr>
        <w:rPr>
          <w:rFonts w:ascii="Arial" w:hAnsi="Arial" w:cs="Arial"/>
          <w:b/>
          <w:bCs/>
          <w:noProof/>
          <w:sz w:val="20"/>
          <w:szCs w:val="20"/>
        </w:rPr>
      </w:pPr>
    </w:p>
    <w:p w14:paraId="39E7E4CD" w14:textId="77777777" w:rsidR="00E96171" w:rsidRPr="008373C2" w:rsidRDefault="00E96171" w:rsidP="00E96171">
      <w:pPr>
        <w:rPr>
          <w:rFonts w:ascii="Arial" w:hAnsi="Arial" w:cs="Arial"/>
          <w:b/>
          <w:bCs/>
          <w:sz w:val="20"/>
          <w:szCs w:val="20"/>
        </w:rPr>
      </w:pPr>
      <w:r w:rsidRPr="008373C2">
        <w:rPr>
          <w:rFonts w:ascii="Arial" w:hAnsi="Arial" w:cs="Arial"/>
          <w:b/>
          <w:bCs/>
          <w:sz w:val="20"/>
          <w:szCs w:val="20"/>
        </w:rPr>
        <w:t xml:space="preserve">Supplementary Figure </w:t>
      </w:r>
      <w:r>
        <w:rPr>
          <w:rFonts w:ascii="Arial" w:hAnsi="Arial" w:cs="Arial"/>
          <w:b/>
          <w:bCs/>
          <w:sz w:val="20"/>
          <w:szCs w:val="20"/>
        </w:rPr>
        <w:t>2</w:t>
      </w:r>
      <w:r w:rsidRPr="008373C2">
        <w:rPr>
          <w:rFonts w:ascii="Arial" w:hAnsi="Arial" w:cs="Arial"/>
          <w:b/>
          <w:bCs/>
          <w:sz w:val="20"/>
          <w:szCs w:val="20"/>
        </w:rPr>
        <w:t>. Modifying yeast piggyBac to test barcode insertion positions and transposase optimization</w:t>
      </w:r>
      <w:r>
        <w:rPr>
          <w:rFonts w:ascii="Arial" w:hAnsi="Arial" w:cs="Arial"/>
          <w:b/>
          <w:bCs/>
          <w:sz w:val="20"/>
          <w:szCs w:val="20"/>
        </w:rPr>
        <w:t>, and e</w:t>
      </w:r>
      <w:r w:rsidRPr="008373C2">
        <w:rPr>
          <w:rFonts w:ascii="Arial" w:hAnsi="Arial" w:cs="Arial"/>
          <w:b/>
          <w:bCs/>
          <w:sz w:val="20"/>
          <w:szCs w:val="20"/>
        </w:rPr>
        <w:t>ffects of barcode insertion positions and transposase sequence on yeast piggyBac transposition efficiency.</w:t>
      </w:r>
      <w:r w:rsidRPr="00822BAA">
        <w:rPr>
          <w:rFonts w:ascii="Arial" w:hAnsi="Arial" w:cs="Arial"/>
          <w:bCs/>
          <w:sz w:val="20"/>
          <w:szCs w:val="20"/>
        </w:rPr>
        <w:t xml:space="preserve"> (A) </w:t>
      </w:r>
      <w:r w:rsidRPr="008373C2">
        <w:rPr>
          <w:rFonts w:ascii="Arial" w:hAnsi="Arial" w:cs="Arial"/>
          <w:bCs/>
          <w:sz w:val="20"/>
          <w:szCs w:val="20"/>
        </w:rPr>
        <w:t xml:space="preserve">Left, </w:t>
      </w:r>
      <w:r w:rsidRPr="008373C2">
        <w:rPr>
          <w:rFonts w:ascii="Arial" w:hAnsi="Arial" w:cs="Arial"/>
          <w:color w:val="000000"/>
          <w:sz w:val="20"/>
          <w:szCs w:val="20"/>
        </w:rPr>
        <w:t xml:space="preserve">a plasmid from </w:t>
      </w:r>
      <w:r w:rsidRPr="008373C2">
        <w:rPr>
          <w:rFonts w:ascii="Arial" w:hAnsi="Arial" w:cs="Arial"/>
          <w:sz w:val="20"/>
          <w:szCs w:val="20"/>
        </w:rPr>
        <w:fldChar w:fldCharType="begin"/>
      </w:r>
      <w:r w:rsidRPr="008373C2">
        <w:rPr>
          <w:rFonts w:ascii="Arial" w:hAnsi="Arial" w:cs="Arial"/>
          <w:sz w:val="20"/>
          <w:szCs w:val="20"/>
        </w:rPr>
        <w:instrText xml:space="preserve"> ADDIN ZOTERO_ITEM CSL_CITATION {"citationID":"hjA0UXP1","properties":{"formattedCitation":"(Weiss et al. 2018)","plainCitation":"(Weiss et al. 2018)","noteIndex":0},"citationItems":[{"id":37,"uris":["http://zotero.org/users/4689184/items/VAKLC355"],"uri":["http://zotero.org/users/4689184/items/VAKLC355"],"itemData":{"id":37,"type":"article-journal","abstract":"A mapping approach that screens mutants in a sterile interspecific hybrid identifies the genetic determinants of differences in high-temperature growth between divergent Saccharomyces cerevisiae and Saccharomyces paradoxus yeast species.","container-title":"Nature Genetics","DOI":"10.1038/s41588-018-0243-4","ISSN":"1546-1718","issue":"11","language":"En","page":"1501","source":"www.nature.com","title":"Genetic dissection of interspecific differences in yeast thermotolerance","volume":"50","author":[{"family":"Weiss","given":"Carly V."},{"family":"Roop","given":"Jeremy I."},{"family":"Hackley","given":"Rylee K."},{"family":"Chuong","given":"Julie N."},{"family":"Grigoriev","given":"Igor V."},{"family":"Arkin","given":"Adam P."},{"family":"Skerker","given":"Jeffrey M."},{"family":"Brem","given":"Rachel B."}],"issued":{"date-parts":[["2018",11]]}}}],"schema":"https://github.com/citation-style-language/schema/raw/master/csl-citation.json"} </w:instrText>
      </w:r>
      <w:r w:rsidRPr="008373C2">
        <w:rPr>
          <w:rFonts w:ascii="Arial" w:hAnsi="Arial" w:cs="Arial"/>
          <w:sz w:val="20"/>
          <w:szCs w:val="20"/>
        </w:rPr>
        <w:fldChar w:fldCharType="separate"/>
      </w:r>
      <w:r w:rsidRPr="008373C2">
        <w:rPr>
          <w:rFonts w:ascii="Arial" w:hAnsi="Arial" w:cs="Arial"/>
          <w:sz w:val="20"/>
          <w:szCs w:val="20"/>
        </w:rPr>
        <w:t>(Weiss et al. 2018)</w:t>
      </w:r>
      <w:r w:rsidRPr="008373C2">
        <w:rPr>
          <w:rFonts w:ascii="Arial" w:hAnsi="Arial" w:cs="Arial"/>
          <w:sz w:val="20"/>
          <w:szCs w:val="20"/>
        </w:rPr>
        <w:fldChar w:fldCharType="end"/>
      </w:r>
      <w:r w:rsidRPr="008373C2">
        <w:rPr>
          <w:rFonts w:ascii="Arial" w:hAnsi="Arial" w:cs="Arial"/>
          <w:sz w:val="20"/>
          <w:szCs w:val="20"/>
        </w:rPr>
        <w:t xml:space="preserve"> </w:t>
      </w:r>
      <w:r w:rsidRPr="008373C2">
        <w:rPr>
          <w:rFonts w:ascii="Arial" w:hAnsi="Arial" w:cs="Arial"/>
          <w:color w:val="000000"/>
          <w:sz w:val="20"/>
          <w:szCs w:val="20"/>
        </w:rPr>
        <w:t xml:space="preserve">containing the unbarcoded </w:t>
      </w:r>
      <w:r w:rsidRPr="008373C2">
        <w:rPr>
          <w:rFonts w:ascii="Arial" w:hAnsi="Arial" w:cs="Arial"/>
          <w:iCs/>
          <w:color w:val="000000"/>
          <w:sz w:val="20"/>
          <w:szCs w:val="20"/>
        </w:rPr>
        <w:t>piggyBac</w:t>
      </w:r>
      <w:r w:rsidRPr="008373C2">
        <w:rPr>
          <w:rFonts w:ascii="Arial" w:hAnsi="Arial" w:cs="Arial"/>
          <w:color w:val="000000"/>
          <w:sz w:val="20"/>
          <w:szCs w:val="20"/>
        </w:rPr>
        <w:t xml:space="preserve"> transposon (gray) and transposase (teal) was modified to eliminate three BbsI restriction enzyme sites, and used as a backbone for further modifications. Right, test plasmids were mutated at transposase sites designed to optimize codons and increase activity </w:t>
      </w:r>
      <w:r w:rsidRPr="008373C2">
        <w:rPr>
          <w:rFonts w:ascii="Arial" w:hAnsi="Arial" w:cs="Arial"/>
          <w:color w:val="000000"/>
          <w:sz w:val="20"/>
          <w:szCs w:val="20"/>
        </w:rPr>
        <w:fldChar w:fldCharType="begin"/>
      </w:r>
      <w:r w:rsidRPr="008373C2">
        <w:rPr>
          <w:rFonts w:ascii="Arial" w:hAnsi="Arial" w:cs="Arial"/>
          <w:color w:val="000000"/>
          <w:sz w:val="20"/>
          <w:szCs w:val="20"/>
        </w:rPr>
        <w:instrText xml:space="preserve"> ADDIN ZOTERO_ITEM CSL_CITATION {"citationID":"lBPMTseP","properties":{"formattedCitation":"(Yusa et al. 2011)","plainCitation":"(Yusa et al. 2011)","noteIndex":0},"citationItems":[{"id":608,"uris":["http://zotero.org/users/4689184/items/WRSNUA8K"],"uri":["http://zotero.org/users/4689184/items/WRSNUA8K"],"itemData":{"id":608,"type":"article-journal","abstract":"DNA transposons have been widely used for transgenesis and insertional mutagenesis in various organisms. Among the transposons active in mammalian cells, the moth-derived transposon piggyBac is most promising with its highly efficient transposition, large cargo capacity, and precise repair of the donor site. Here we report the generation of a hyperactive piggyBac transposase. The active transposition of piggyBac in multiple organisms allowed us to screen a transposase mutant library in yeast for hyperactive mutants and then to test candidates in mouse ES cells. We isolated 18 hyperactive mutants in yeast, among which five were also hyperactive in mammalian cells. By combining all mutations, a total of 7 aa substitutions, into a single reading frame, we generated a unique hyperactive piggyBac transposase with 17-fold and ninefold increases in excision and integration, respectively. We showed its applicability by demonstrating an increased efficiency of generation of transgene-free mouse induced pluripotent stem cells. We also analyzed whether this hyperactive piggyBac transposase affects the genomic integrity of the host cells. The frequency of footprints left by the hyperactive piggyBac transposase was as low as WT transposase (~1%) and we found no evidence that the expression of the transposase affects genomic integrity. This hyperactive piggyBac transposase expands the utility of the piggyBac transposon for applications in mammalian genetics and gene therapy.","container-title":"Proceedings of the National Academy of Sciences","DOI":"10.1073/pnas.1008322108","ISSN":"0027-8424, 1091-6490","issue":"4","journalAbbreviation":"PNAS","language":"en","note":"publisher: National Academy of Sciences\nsection: Biological Sciences\nPMID: 21205896","page":"1531-1536","source":"www.pnas.org","title":"A hyperactive piggyBac transposase for mammalian applications","volume":"108","author":[{"family":"Yusa","given":"Kosuke"},{"family":"Zhou","given":"Liqin"},{"family":"Li","given":"Meng Amy"},{"family":"Bradley","given":"Allan"},{"family":"Craig","given":"Nancy L."}],"issued":{"date-parts":[["2011",1,25]]}}}],"schema":"https://github.com/citation-style-language/schema/raw/master/csl-citation.json"} </w:instrText>
      </w:r>
      <w:r w:rsidRPr="008373C2">
        <w:rPr>
          <w:rFonts w:ascii="Arial" w:hAnsi="Arial" w:cs="Arial"/>
          <w:color w:val="000000"/>
          <w:sz w:val="20"/>
          <w:szCs w:val="20"/>
        </w:rPr>
        <w:fldChar w:fldCharType="separate"/>
      </w:r>
      <w:r w:rsidRPr="008373C2">
        <w:rPr>
          <w:rFonts w:ascii="Arial" w:hAnsi="Arial" w:cs="Arial"/>
          <w:sz w:val="20"/>
          <w:szCs w:val="20"/>
        </w:rPr>
        <w:t>(Yusa et al. 2011)</w:t>
      </w:r>
      <w:r w:rsidRPr="008373C2">
        <w:rPr>
          <w:rFonts w:ascii="Arial" w:hAnsi="Arial" w:cs="Arial"/>
          <w:color w:val="000000"/>
          <w:sz w:val="20"/>
          <w:szCs w:val="20"/>
        </w:rPr>
        <w:fldChar w:fldCharType="end"/>
      </w:r>
      <w:r w:rsidRPr="008373C2">
        <w:rPr>
          <w:rFonts w:ascii="Arial" w:hAnsi="Arial" w:cs="Arial"/>
          <w:color w:val="000000"/>
          <w:sz w:val="20"/>
          <w:szCs w:val="20"/>
        </w:rPr>
        <w:t xml:space="preserve">. Bottom, test plasmids were modified to incorporate into the transposon a single 20 nucleotide barcode flanked by universal priming regions and custom two-nucleotide overhang sequences (blue squares), either by insertion between the 3’-most end of the left arm and 5’ end of the TEF promoter of the kanamycin cassette (bottom left) or replacing endogenous nucleotides inside the right arm of </w:t>
      </w:r>
      <w:r w:rsidRPr="008373C2">
        <w:rPr>
          <w:rFonts w:ascii="Arial" w:hAnsi="Arial" w:cs="Arial"/>
          <w:iCs/>
          <w:color w:val="000000"/>
          <w:sz w:val="20"/>
          <w:szCs w:val="20"/>
        </w:rPr>
        <w:t>the transposon (bottom right). Pink rectangles indicate</w:t>
      </w:r>
      <w:r w:rsidRPr="008373C2">
        <w:rPr>
          <w:rFonts w:ascii="Arial" w:hAnsi="Arial" w:cs="Arial"/>
          <w:color w:val="000000"/>
          <w:sz w:val="20"/>
          <w:szCs w:val="20"/>
        </w:rPr>
        <w:t xml:space="preserve"> transposase binding sites from </w:t>
      </w:r>
      <w:r w:rsidRPr="008373C2">
        <w:rPr>
          <w:rFonts w:ascii="Arial" w:hAnsi="Arial" w:cs="Arial"/>
          <w:color w:val="000000"/>
          <w:sz w:val="20"/>
          <w:szCs w:val="20"/>
        </w:rPr>
        <w:fldChar w:fldCharType="begin"/>
      </w:r>
      <w:r w:rsidRPr="008373C2">
        <w:rPr>
          <w:rFonts w:ascii="Arial" w:hAnsi="Arial" w:cs="Arial"/>
          <w:color w:val="000000"/>
          <w:sz w:val="20"/>
          <w:szCs w:val="20"/>
        </w:rPr>
        <w:instrText xml:space="preserve"> ADDIN ZOTERO_ITEM CSL_CITATION {"citationID":"2f1lLpcF","properties":{"formattedCitation":"(Morellet et al. 2018)","plainCitation":"(Morellet et al. 2018)","noteIndex":0},"citationItems":[{"id":589,"uris":["http://zotero.org/users/4689184/items/92K3SBVL"],"uri":["http://zotero.org/users/4689184/items/92K3SBVL"],"itemData":{"id":589,"type":"article-journal","abstract":"The piggyBac transposase (PB) is distinguished by its activity and utility in genome engineering, especially in humans where it has highly promising therapeutic potential. Little is known, however, about the structure–function relationships of the different domains of PB. Here, we demonstrate in vitro and in vivo that its C-terminal Cysteine-Rich Domain (CRD) is essential for DNA breakage, joining and transposition and that it binds to specific DNA sequences in the left and right transposon ends, and to an additional unexpectedly internal site at the left end. Using NMR, we show that the CRD adopts the specific fold of the cross-brace zinc finger protein family. We determine the interaction interfaces between the CRD and its target, the 5′-TGCGT-3′/3′-ACGCA-5′ motifs found in the left, left internal and right transposon ends, and use NMR results to propose docking models for the complex, which are consistent with our site-directed mutagenesis data. Our results provide support for a model of the PB/DNA interactions in the context of the transpososome, which will be useful for the rational design of PB mutants with increased activity.","container-title":"Nucleic Acids Research","DOI":"10.1093/nar/gky044","ISSN":"0305-1048","issue":"5","journalAbbreviation":"Nucleic Acids Research","page":"2660-2677","source":"Silverchair","title":"Sequence-specific DNA binding activity of the cross-brace zinc finger motif of the piggyBac transposase","volume":"46","author":[{"family":"Morellet","given":"Nelly"},{"family":"Li","given":"Xianghong"},{"family":"Wieninger","given":"Silke A"},{"family":"Taylor","given":"Jennifer L"},{"family":"Bischerour","given":"Julien"},{"family":"Moriau","given":"Séverine"},{"family":"Lescop","given":"Ewen"},{"family":"Bardiaux","given":"Benjamin"},{"family":"Mathy","given":"Nathalie"},{"family":"Assrir","given":"Nadine"},{"family":"Bétermier","given":"Mireille"},{"family":"Nilges","given":"Michael"},{"family":"Hickman","given":"Alison B"},{"family":"Dyda","given":"Fred"},{"family":"Craig","given":"Nancy L"},{"family":"Guittet","given":"Eric"}],"issued":{"date-parts":[["2018",3,16]]}}}],"schema":"https://github.com/citation-style-language/schema/raw/master/csl-citation.json"} </w:instrText>
      </w:r>
      <w:r w:rsidRPr="008373C2">
        <w:rPr>
          <w:rFonts w:ascii="Arial" w:hAnsi="Arial" w:cs="Arial"/>
          <w:color w:val="000000"/>
          <w:sz w:val="20"/>
          <w:szCs w:val="20"/>
        </w:rPr>
        <w:fldChar w:fldCharType="separate"/>
      </w:r>
      <w:r w:rsidRPr="008373C2">
        <w:rPr>
          <w:rFonts w:ascii="Arial" w:hAnsi="Arial" w:cs="Arial"/>
          <w:sz w:val="20"/>
          <w:szCs w:val="20"/>
        </w:rPr>
        <w:t>(Morellet et al. 2018)</w:t>
      </w:r>
      <w:r w:rsidRPr="008373C2">
        <w:rPr>
          <w:rFonts w:ascii="Arial" w:hAnsi="Arial" w:cs="Arial"/>
          <w:color w:val="000000"/>
          <w:sz w:val="20"/>
          <w:szCs w:val="20"/>
        </w:rPr>
        <w:fldChar w:fldCharType="end"/>
      </w:r>
      <w:r w:rsidRPr="008373C2">
        <w:rPr>
          <w:rFonts w:ascii="Arial" w:hAnsi="Arial" w:cs="Arial"/>
          <w:color w:val="000000"/>
          <w:sz w:val="20"/>
          <w:szCs w:val="20"/>
        </w:rPr>
        <w:t xml:space="preserve">. </w:t>
      </w:r>
      <w:r w:rsidRPr="00822BAA">
        <w:rPr>
          <w:rFonts w:ascii="Arial" w:hAnsi="Arial" w:cs="Arial"/>
          <w:bCs/>
          <w:color w:val="000000"/>
          <w:sz w:val="20"/>
          <w:szCs w:val="20"/>
        </w:rPr>
        <w:t>(B)</w:t>
      </w:r>
      <w:r w:rsidRPr="008373C2">
        <w:rPr>
          <w:rFonts w:ascii="Arial" w:hAnsi="Arial" w:cs="Arial"/>
          <w:b/>
          <w:bCs/>
          <w:sz w:val="20"/>
          <w:szCs w:val="20"/>
        </w:rPr>
        <w:t xml:space="preserve"> </w:t>
      </w:r>
      <w:r w:rsidRPr="008373C2">
        <w:rPr>
          <w:rFonts w:ascii="Arial" w:hAnsi="Arial" w:cs="Arial"/>
          <w:color w:val="000000"/>
          <w:sz w:val="20"/>
          <w:szCs w:val="20"/>
        </w:rPr>
        <w:t xml:space="preserve">Each pair of boxes reports transposition test results from a plasmid schematized in </w:t>
      </w:r>
      <w:r>
        <w:rPr>
          <w:rFonts w:ascii="Arial" w:hAnsi="Arial" w:cs="Arial"/>
          <w:color w:val="000000"/>
          <w:sz w:val="20"/>
          <w:szCs w:val="20"/>
        </w:rPr>
        <w:t xml:space="preserve">(A) </w:t>
      </w:r>
      <w:r w:rsidRPr="008373C2">
        <w:rPr>
          <w:rFonts w:ascii="Arial" w:hAnsi="Arial" w:cs="Arial"/>
          <w:color w:val="000000"/>
          <w:sz w:val="20"/>
          <w:szCs w:val="20"/>
        </w:rPr>
        <w:t xml:space="preserve">in the </w:t>
      </w:r>
      <w:r w:rsidRPr="008373C2">
        <w:rPr>
          <w:rFonts w:ascii="Arial" w:hAnsi="Arial" w:cs="Arial"/>
          <w:i/>
          <w:color w:val="000000"/>
          <w:sz w:val="20"/>
          <w:szCs w:val="20"/>
        </w:rPr>
        <w:t>S. cerevisiae</w:t>
      </w:r>
      <w:r w:rsidRPr="008373C2">
        <w:rPr>
          <w:rFonts w:ascii="Arial" w:hAnsi="Arial" w:cs="Arial"/>
          <w:color w:val="000000"/>
          <w:sz w:val="20"/>
          <w:szCs w:val="20"/>
        </w:rPr>
        <w:t xml:space="preserve"> x </w:t>
      </w:r>
      <w:r w:rsidRPr="008373C2">
        <w:rPr>
          <w:rFonts w:ascii="Arial" w:hAnsi="Arial" w:cs="Arial"/>
          <w:i/>
          <w:color w:val="000000"/>
          <w:sz w:val="20"/>
          <w:szCs w:val="20"/>
        </w:rPr>
        <w:t xml:space="preserve">S. paradoxus </w:t>
      </w:r>
      <w:r w:rsidRPr="008373C2">
        <w:rPr>
          <w:rFonts w:ascii="Arial" w:hAnsi="Arial" w:cs="Arial"/>
          <w:color w:val="000000"/>
          <w:sz w:val="20"/>
          <w:szCs w:val="20"/>
        </w:rPr>
        <w:t>F1 hybrid, with transformation at the indicated temperature. For a given box, the thick black line reports the median; the box extent report quartiles; whiskers report outliers.</w:t>
      </w:r>
    </w:p>
    <w:p w14:paraId="10416916" w14:textId="77777777" w:rsidR="00E96171" w:rsidRDefault="00E96171" w:rsidP="00E96171">
      <w:pPr>
        <w:rPr>
          <w:rFonts w:ascii="Arial" w:hAnsi="Arial" w:cs="Arial"/>
          <w:b/>
          <w:bCs/>
          <w:sz w:val="20"/>
          <w:szCs w:val="20"/>
        </w:rPr>
      </w:pPr>
    </w:p>
    <w:p w14:paraId="386937F3" w14:textId="77777777" w:rsidR="00E96171" w:rsidRDefault="00E96171" w:rsidP="00E96171">
      <w:pPr>
        <w:rPr>
          <w:rFonts w:ascii="Arial" w:hAnsi="Arial" w:cs="Arial"/>
          <w:sz w:val="20"/>
          <w:szCs w:val="20"/>
        </w:rPr>
      </w:pPr>
      <w:r w:rsidRPr="00D75F0E">
        <w:rPr>
          <w:rFonts w:ascii="Arial" w:hAnsi="Arial" w:cs="Arial"/>
          <w:b/>
          <w:bCs/>
          <w:sz w:val="20"/>
          <w:szCs w:val="20"/>
        </w:rPr>
        <w:t xml:space="preserve">Supplementary Figure </w:t>
      </w:r>
      <w:r>
        <w:rPr>
          <w:rFonts w:ascii="Arial" w:hAnsi="Arial" w:cs="Arial"/>
          <w:b/>
          <w:bCs/>
          <w:sz w:val="20"/>
          <w:szCs w:val="20"/>
        </w:rPr>
        <w:t>3</w:t>
      </w:r>
      <w:r w:rsidRPr="00D75F0E">
        <w:rPr>
          <w:rFonts w:ascii="Arial" w:hAnsi="Arial" w:cs="Arial"/>
          <w:b/>
          <w:bCs/>
          <w:sz w:val="20"/>
          <w:szCs w:val="20"/>
        </w:rPr>
        <w:t>.</w:t>
      </w:r>
      <w:r>
        <w:rPr>
          <w:rFonts w:ascii="Arial" w:hAnsi="Arial" w:cs="Arial"/>
          <w:b/>
          <w:bCs/>
          <w:sz w:val="20"/>
          <w:szCs w:val="20"/>
        </w:rPr>
        <w:t xml:space="preserve"> Gene coverage and read depth in thermotolerance Bar-seq. </w:t>
      </w:r>
      <w:r w:rsidRPr="00F22638">
        <w:rPr>
          <w:rFonts w:ascii="Arial" w:hAnsi="Arial" w:cs="Arial"/>
          <w:bCs/>
          <w:sz w:val="20"/>
          <w:szCs w:val="20"/>
        </w:rPr>
        <w:t>(A)</w:t>
      </w:r>
      <w:r>
        <w:rPr>
          <w:rFonts w:ascii="Arial" w:hAnsi="Arial" w:cs="Arial"/>
          <w:sz w:val="20"/>
          <w:szCs w:val="20"/>
        </w:rPr>
        <w:t xml:space="preserve"> The </w:t>
      </w:r>
      <w:r w:rsidRPr="00611CB8">
        <w:rPr>
          <w:rFonts w:ascii="Arial" w:hAnsi="Arial" w:cs="Arial"/>
          <w:i/>
          <w:sz w:val="20"/>
          <w:szCs w:val="20"/>
        </w:rPr>
        <w:t>x</w:t>
      </w:r>
      <w:r>
        <w:rPr>
          <w:rFonts w:ascii="Arial" w:hAnsi="Arial" w:cs="Arial"/>
          <w:sz w:val="20"/>
          <w:szCs w:val="20"/>
        </w:rPr>
        <w:t xml:space="preserve">-axis reports the number of inferred hemizygote clones </w:t>
      </w:r>
      <w:proofErr w:type="gramStart"/>
      <w:r>
        <w:rPr>
          <w:rFonts w:ascii="Arial" w:hAnsi="Arial" w:cs="Arial"/>
          <w:sz w:val="20"/>
          <w:szCs w:val="20"/>
        </w:rPr>
        <w:t>in a given</w:t>
      </w:r>
      <w:proofErr w:type="gramEnd"/>
      <w:r>
        <w:rPr>
          <w:rFonts w:ascii="Arial" w:hAnsi="Arial" w:cs="Arial"/>
          <w:sz w:val="20"/>
          <w:szCs w:val="20"/>
        </w:rPr>
        <w:t xml:space="preserve"> gene (corresponding to transposon insertion mutants) whose abundance was detectable in Bar-seq (see Figure 1B), and each bar height reports the number of genes with the number of detectable hemizygotes on the </w:t>
      </w:r>
      <w:r w:rsidRPr="00337A59">
        <w:rPr>
          <w:rFonts w:ascii="Arial" w:hAnsi="Arial" w:cs="Arial"/>
          <w:i/>
          <w:sz w:val="20"/>
          <w:szCs w:val="20"/>
        </w:rPr>
        <w:t>x</w:t>
      </w:r>
      <w:r>
        <w:rPr>
          <w:rFonts w:ascii="Arial" w:hAnsi="Arial" w:cs="Arial"/>
          <w:sz w:val="20"/>
          <w:szCs w:val="20"/>
        </w:rPr>
        <w:t xml:space="preserve">, for the indicated species’ allele in the diploid hybrid. The dotted red line indicates the cutoff used in our quality control pipeline for tests of allelic impact on thermotolerance, whereby only genes with greater than three inserts for an allele in the Bar-seq counts were considered. </w:t>
      </w:r>
      <w:r w:rsidRPr="001A6C48">
        <w:rPr>
          <w:rFonts w:ascii="Arial" w:hAnsi="Arial" w:cs="Arial"/>
          <w:bCs/>
          <w:sz w:val="20"/>
          <w:szCs w:val="20"/>
        </w:rPr>
        <w:t>(B)</w:t>
      </w:r>
      <w:r w:rsidRPr="001A6C48">
        <w:rPr>
          <w:rFonts w:ascii="Arial" w:hAnsi="Arial" w:cs="Arial"/>
          <w:sz w:val="20"/>
          <w:szCs w:val="20"/>
        </w:rPr>
        <w:t xml:space="preserve"> </w:t>
      </w:r>
      <w:r>
        <w:rPr>
          <w:rFonts w:ascii="Arial" w:hAnsi="Arial" w:cs="Arial"/>
          <w:sz w:val="20"/>
          <w:szCs w:val="20"/>
        </w:rPr>
        <w:t xml:space="preserve">The </w:t>
      </w:r>
      <w:r w:rsidRPr="003E5261">
        <w:rPr>
          <w:rFonts w:ascii="Arial" w:hAnsi="Arial" w:cs="Arial"/>
          <w:i/>
          <w:sz w:val="20"/>
          <w:szCs w:val="20"/>
        </w:rPr>
        <w:t>x</w:t>
      </w:r>
      <w:r>
        <w:rPr>
          <w:rFonts w:ascii="Arial" w:hAnsi="Arial" w:cs="Arial"/>
          <w:sz w:val="20"/>
          <w:szCs w:val="20"/>
        </w:rPr>
        <w:t xml:space="preserve">-axis reports the total number of Bar-seq reads, for a given inferred hemizygote clone in the indicated species’ allele, in competition cultures grown at 28°C; each bar height reports the number of inferred hemizygote clones with the Bar-seq abundance on the </w:t>
      </w:r>
      <w:r w:rsidRPr="00BD0047">
        <w:rPr>
          <w:rFonts w:ascii="Arial" w:hAnsi="Arial" w:cs="Arial"/>
          <w:i/>
          <w:sz w:val="20"/>
          <w:szCs w:val="20"/>
        </w:rPr>
        <w:t>x</w:t>
      </w:r>
      <w:r>
        <w:rPr>
          <w:rFonts w:ascii="Arial" w:hAnsi="Arial" w:cs="Arial"/>
          <w:sz w:val="20"/>
          <w:szCs w:val="20"/>
        </w:rPr>
        <w:t>.</w:t>
      </w:r>
      <w:r w:rsidRPr="001A6C48">
        <w:rPr>
          <w:rFonts w:ascii="Arial" w:hAnsi="Arial" w:cs="Arial"/>
          <w:bCs/>
          <w:sz w:val="20"/>
          <w:szCs w:val="20"/>
        </w:rPr>
        <w:t xml:space="preserve"> (C) </w:t>
      </w:r>
      <w:r>
        <w:rPr>
          <w:rFonts w:ascii="Arial" w:hAnsi="Arial" w:cs="Arial"/>
          <w:sz w:val="20"/>
          <w:szCs w:val="20"/>
        </w:rPr>
        <w:t xml:space="preserve">Data are as in (B) except </w:t>
      </w:r>
      <w:proofErr w:type="gramStart"/>
      <w:r>
        <w:rPr>
          <w:rFonts w:ascii="Arial" w:hAnsi="Arial" w:cs="Arial"/>
          <w:sz w:val="20"/>
          <w:szCs w:val="20"/>
        </w:rPr>
        <w:t>that competitions</w:t>
      </w:r>
      <w:proofErr w:type="gramEnd"/>
      <w:r>
        <w:rPr>
          <w:rFonts w:ascii="Arial" w:hAnsi="Arial" w:cs="Arial"/>
          <w:sz w:val="20"/>
          <w:szCs w:val="20"/>
        </w:rPr>
        <w:t xml:space="preserve"> at 37°C were analyzed. </w:t>
      </w:r>
    </w:p>
    <w:p w14:paraId="37943FA4" w14:textId="77777777" w:rsidR="00E96171" w:rsidRDefault="00E96171" w:rsidP="00E96171">
      <w:pPr>
        <w:rPr>
          <w:rFonts w:ascii="Arial" w:hAnsi="Arial" w:cs="Arial"/>
          <w:b/>
          <w:bCs/>
          <w:sz w:val="20"/>
          <w:szCs w:val="20"/>
        </w:rPr>
      </w:pPr>
    </w:p>
    <w:p w14:paraId="4D5A52AA" w14:textId="77777777" w:rsidR="00E96171" w:rsidRPr="008373C2" w:rsidRDefault="00E96171" w:rsidP="00E96171">
      <w:pPr>
        <w:rPr>
          <w:rFonts w:ascii="Arial" w:hAnsi="Arial" w:cs="Arial"/>
          <w:sz w:val="20"/>
          <w:szCs w:val="20"/>
        </w:rPr>
      </w:pPr>
      <w:r w:rsidRPr="008373C2">
        <w:rPr>
          <w:rFonts w:ascii="Arial" w:hAnsi="Arial" w:cs="Arial"/>
          <w:b/>
          <w:bCs/>
          <w:sz w:val="20"/>
          <w:szCs w:val="20"/>
        </w:rPr>
        <w:t xml:space="preserve">Supplementary Figure </w:t>
      </w:r>
      <w:r>
        <w:rPr>
          <w:rFonts w:ascii="Arial" w:hAnsi="Arial" w:cs="Arial"/>
          <w:b/>
          <w:bCs/>
          <w:sz w:val="20"/>
          <w:szCs w:val="20"/>
        </w:rPr>
        <w:t>4</w:t>
      </w:r>
      <w:r w:rsidRPr="008373C2">
        <w:rPr>
          <w:rFonts w:ascii="Arial" w:hAnsi="Arial" w:cs="Arial"/>
          <w:b/>
          <w:sz w:val="20"/>
          <w:szCs w:val="20"/>
        </w:rPr>
        <w:t>. Impact on high-temperature growth of allelic variation</w:t>
      </w:r>
      <w:r>
        <w:rPr>
          <w:rFonts w:ascii="Arial" w:hAnsi="Arial" w:cs="Arial"/>
          <w:b/>
          <w:sz w:val="20"/>
          <w:szCs w:val="20"/>
        </w:rPr>
        <w:t>, in barcoded RH-seq,</w:t>
      </w:r>
      <w:r w:rsidRPr="008373C2">
        <w:rPr>
          <w:rFonts w:ascii="Arial" w:hAnsi="Arial" w:cs="Arial"/>
          <w:b/>
          <w:sz w:val="20"/>
          <w:szCs w:val="20"/>
        </w:rPr>
        <w:t xml:space="preserve"> at genes from a previous thermotolerance screen.</w:t>
      </w:r>
      <w:r w:rsidRPr="008373C2">
        <w:rPr>
          <w:rFonts w:ascii="Arial" w:hAnsi="Arial" w:cs="Arial"/>
          <w:sz w:val="20"/>
          <w:szCs w:val="20"/>
        </w:rPr>
        <w:t xml:space="preserve"> </w:t>
      </w:r>
      <w:r>
        <w:rPr>
          <w:rFonts w:ascii="Arial" w:hAnsi="Arial" w:cs="Arial"/>
          <w:sz w:val="20"/>
          <w:szCs w:val="20"/>
        </w:rPr>
        <w:t xml:space="preserve">(A) </w:t>
      </w:r>
      <w:r w:rsidRPr="003B379E">
        <w:rPr>
          <w:rFonts w:ascii="Arial" w:hAnsi="Arial" w:cs="Arial"/>
          <w:sz w:val="20"/>
          <w:szCs w:val="20"/>
        </w:rPr>
        <w:t xml:space="preserve">Each row reports the allelic effect, the thermotolerance conferred by disruption of the </w:t>
      </w:r>
      <w:r w:rsidRPr="0011475F">
        <w:rPr>
          <w:rFonts w:ascii="Arial" w:hAnsi="Arial" w:cs="Arial"/>
          <w:i/>
          <w:sz w:val="20"/>
          <w:szCs w:val="20"/>
        </w:rPr>
        <w:t>S. cerevisiae</w:t>
      </w:r>
      <w:r w:rsidRPr="003B379E">
        <w:rPr>
          <w:rFonts w:ascii="Arial" w:hAnsi="Arial" w:cs="Arial"/>
          <w:sz w:val="20"/>
          <w:szCs w:val="20"/>
        </w:rPr>
        <w:t xml:space="preserve"> allele, relative to the analogous quantity for the </w:t>
      </w:r>
      <w:r w:rsidRPr="0011475F">
        <w:rPr>
          <w:rFonts w:ascii="Arial" w:hAnsi="Arial" w:cs="Arial"/>
          <w:i/>
          <w:sz w:val="20"/>
          <w:szCs w:val="20"/>
        </w:rPr>
        <w:t>S. paradoxus</w:t>
      </w:r>
      <w:r w:rsidRPr="003B379E">
        <w:rPr>
          <w:rFonts w:ascii="Arial" w:hAnsi="Arial" w:cs="Arial"/>
          <w:sz w:val="20"/>
          <w:szCs w:val="20"/>
        </w:rPr>
        <w:t xml:space="preserve"> allele, as measured in barcoded RH-seq, of a gene at which allelic variation was previously reported to impact thermotolerance</w:t>
      </w:r>
      <w:r w:rsidRPr="008373C2">
        <w:rPr>
          <w:rFonts w:ascii="Arial" w:hAnsi="Arial" w:cs="Arial"/>
          <w:sz w:val="20"/>
          <w:szCs w:val="20"/>
        </w:rPr>
        <w:t xml:space="preserve"> </w:t>
      </w:r>
      <w:r w:rsidRPr="008373C2">
        <w:rPr>
          <w:rFonts w:ascii="Arial" w:hAnsi="Arial" w:cs="Arial"/>
          <w:sz w:val="20"/>
          <w:szCs w:val="20"/>
        </w:rPr>
        <w:fldChar w:fldCharType="begin"/>
      </w:r>
      <w:r w:rsidRPr="008373C2">
        <w:rPr>
          <w:rFonts w:ascii="Arial" w:hAnsi="Arial" w:cs="Arial"/>
          <w:sz w:val="20"/>
          <w:szCs w:val="20"/>
        </w:rPr>
        <w:instrText xml:space="preserve"> ADDIN ZOTERO_ITEM CSL_CITATION {"citationID":"ZFYVCvYm","properties":{"formattedCitation":"(Weiss et al. 2018)","plainCitation":"(Weiss et al. 2018)","noteIndex":0},"citationItems":[{"id":37,"uris":["http://zotero.org/users/4689184/items/VAKLC355"],"uri":["http://zotero.org/users/4689184/items/VAKLC355"],"itemData":{"id":37,"type":"article-journal","abstract":"A mapping approach that screens mutants in a sterile interspecific hybrid identifies the genetic determinants of differences in high-temperature growth between divergent Saccharomyces cerevisiae and Saccharomyces paradoxus yeast species.","container-title":"Nature Genetics","DOI":"10.1038/s41588-018-0243-4","ISSN":"1546-1718","issue":"11","language":"En","page":"1501","source":"www.nature.com","title":"Genetic dissection of interspecific differences in yeast thermotolerance","volume":"50","author":[{"family":"Weiss","given":"Carly V."},{"family":"Roop","given":"Jeremy I."},{"family":"Hackley","given":"Rylee K."},{"family":"Chuong","given":"Julie N."},{"family":"Grigoriev","given":"Igor V."},{"family":"Arkin","given":"Adam P."},{"family":"Skerker","given":"Jeffrey M."},{"family":"Brem","given":"Rachel B."}],"issued":{"date-parts":[["2018",11]]}}}],"schema":"https://github.com/citation-style-language/schema/raw/master/csl-citation.json"} </w:instrText>
      </w:r>
      <w:r w:rsidRPr="008373C2">
        <w:rPr>
          <w:rFonts w:ascii="Arial" w:hAnsi="Arial" w:cs="Arial"/>
          <w:sz w:val="20"/>
          <w:szCs w:val="20"/>
        </w:rPr>
        <w:fldChar w:fldCharType="separate"/>
      </w:r>
      <w:r w:rsidRPr="008373C2">
        <w:rPr>
          <w:rFonts w:ascii="Arial" w:hAnsi="Arial" w:cs="Arial"/>
          <w:sz w:val="20"/>
          <w:szCs w:val="20"/>
        </w:rPr>
        <w:t>(Weiss et al. 2018)</w:t>
      </w:r>
      <w:r w:rsidRPr="008373C2">
        <w:rPr>
          <w:rFonts w:ascii="Arial" w:hAnsi="Arial" w:cs="Arial"/>
          <w:sz w:val="20"/>
          <w:szCs w:val="20"/>
        </w:rPr>
        <w:fldChar w:fldCharType="end"/>
      </w:r>
      <w:r w:rsidRPr="008373C2">
        <w:rPr>
          <w:rFonts w:ascii="Arial" w:hAnsi="Arial" w:cs="Arial"/>
          <w:sz w:val="20"/>
          <w:szCs w:val="20"/>
        </w:rPr>
        <w:t xml:space="preserve">. Genes marked with asterisks were significant at </w:t>
      </w:r>
      <w:r w:rsidRPr="008373C2">
        <w:rPr>
          <w:rFonts w:ascii="Arial" w:hAnsi="Arial" w:cs="Arial"/>
          <w:i/>
          <w:sz w:val="20"/>
          <w:szCs w:val="20"/>
        </w:rPr>
        <w:t>p</w:t>
      </w:r>
      <w:r w:rsidRPr="008373C2">
        <w:rPr>
          <w:rFonts w:ascii="Arial" w:hAnsi="Arial" w:cs="Arial"/>
          <w:sz w:val="20"/>
          <w:szCs w:val="20"/>
        </w:rPr>
        <w:t xml:space="preserve"> &lt; 0.05, after quality control for noise and number of inserts and multiple-hypothesis correction.</w:t>
      </w:r>
      <w:r>
        <w:rPr>
          <w:rFonts w:ascii="Arial" w:hAnsi="Arial" w:cs="Arial"/>
          <w:sz w:val="20"/>
          <w:szCs w:val="20"/>
        </w:rPr>
        <w:t xml:space="preserve"> (B) The </w:t>
      </w:r>
      <w:r w:rsidRPr="00110A74">
        <w:rPr>
          <w:rFonts w:ascii="Arial" w:hAnsi="Arial" w:cs="Arial"/>
          <w:i/>
          <w:sz w:val="20"/>
          <w:szCs w:val="20"/>
        </w:rPr>
        <w:t>x</w:t>
      </w:r>
      <w:r>
        <w:rPr>
          <w:rFonts w:ascii="Arial" w:hAnsi="Arial" w:cs="Arial"/>
          <w:sz w:val="20"/>
          <w:szCs w:val="20"/>
        </w:rPr>
        <w:t xml:space="preserve">-axis reports </w:t>
      </w:r>
      <w:r w:rsidRPr="007E1B33">
        <w:rPr>
          <w:rFonts w:ascii="Arial" w:hAnsi="Arial" w:cs="Arial"/>
          <w:sz w:val="20"/>
          <w:szCs w:val="20"/>
        </w:rPr>
        <w:t>allelic effect</w:t>
      </w:r>
      <w:r>
        <w:rPr>
          <w:rFonts w:ascii="Arial" w:hAnsi="Arial" w:cs="Arial"/>
          <w:sz w:val="20"/>
          <w:szCs w:val="20"/>
        </w:rPr>
        <w:t xml:space="preserve"> for a given gene as in (A); the </w:t>
      </w:r>
      <w:r w:rsidRPr="001E0779">
        <w:rPr>
          <w:rFonts w:ascii="Arial" w:hAnsi="Arial" w:cs="Arial"/>
          <w:i/>
          <w:sz w:val="20"/>
          <w:szCs w:val="20"/>
        </w:rPr>
        <w:t>y</w:t>
      </w:r>
      <w:r>
        <w:rPr>
          <w:rFonts w:ascii="Arial" w:hAnsi="Arial" w:cs="Arial"/>
          <w:sz w:val="20"/>
          <w:szCs w:val="20"/>
        </w:rPr>
        <w:t xml:space="preserve">-axis reports the proportion of genes with the allelic effect on the </w:t>
      </w:r>
      <w:r w:rsidRPr="0004410B">
        <w:rPr>
          <w:rFonts w:ascii="Arial" w:hAnsi="Arial" w:cs="Arial"/>
          <w:i/>
          <w:sz w:val="20"/>
          <w:szCs w:val="20"/>
        </w:rPr>
        <w:t>x</w:t>
      </w:r>
      <w:r>
        <w:rPr>
          <w:rFonts w:ascii="Arial" w:hAnsi="Arial" w:cs="Arial"/>
          <w:sz w:val="20"/>
          <w:szCs w:val="20"/>
        </w:rPr>
        <w:t>, with the blue trace showing the distribution across all genes with barcoded RH-seq data, as a kernel density estimate. Red dotted vertical lines represent genes from (A).</w:t>
      </w:r>
    </w:p>
    <w:p w14:paraId="1D2226AA" w14:textId="77777777" w:rsidR="00E96171" w:rsidRPr="008373C2" w:rsidRDefault="00E96171" w:rsidP="00E96171">
      <w:pPr>
        <w:rPr>
          <w:rFonts w:ascii="Arial" w:hAnsi="Arial" w:cs="Arial"/>
          <w:sz w:val="20"/>
          <w:szCs w:val="20"/>
        </w:rPr>
      </w:pPr>
    </w:p>
    <w:p w14:paraId="79D328D9" w14:textId="333FE118" w:rsidR="00F35ECE" w:rsidRDefault="00E96171">
      <w:pPr>
        <w:rPr>
          <w:rFonts w:ascii="Arial" w:hAnsi="Arial" w:cs="Arial"/>
          <w:sz w:val="20"/>
          <w:szCs w:val="20"/>
        </w:rPr>
      </w:pPr>
      <w:r>
        <w:rPr>
          <w:rFonts w:ascii="Arial" w:hAnsi="Arial" w:cs="Arial"/>
          <w:b/>
          <w:bCs/>
          <w:sz w:val="20"/>
          <w:szCs w:val="20"/>
        </w:rPr>
        <w:t>Supplementary Figure</w:t>
      </w:r>
      <w:r w:rsidRPr="008373C2">
        <w:rPr>
          <w:rFonts w:ascii="Arial" w:hAnsi="Arial" w:cs="Arial"/>
          <w:b/>
          <w:bCs/>
          <w:sz w:val="20"/>
          <w:szCs w:val="20"/>
        </w:rPr>
        <w:t xml:space="preserve"> 5</w:t>
      </w:r>
      <w:r w:rsidRPr="008373C2">
        <w:rPr>
          <w:rFonts w:ascii="Arial" w:hAnsi="Arial" w:cs="Arial"/>
          <w:sz w:val="20"/>
          <w:szCs w:val="20"/>
        </w:rPr>
        <w:t xml:space="preserve">. </w:t>
      </w:r>
      <w:r w:rsidRPr="008373C2">
        <w:rPr>
          <w:rFonts w:ascii="Arial" w:hAnsi="Arial" w:cs="Arial"/>
          <w:b/>
          <w:sz w:val="20"/>
          <w:szCs w:val="20"/>
        </w:rPr>
        <w:t>Accelerated evolution of thermotolerance loci.</w:t>
      </w:r>
      <w:r w:rsidRPr="008373C2">
        <w:rPr>
          <w:rFonts w:ascii="Arial" w:hAnsi="Arial" w:cs="Arial"/>
          <w:sz w:val="20"/>
          <w:szCs w:val="20"/>
        </w:rPr>
        <w:t xml:space="preserve"> Shown are results of analyses of branch length of </w:t>
      </w:r>
      <w:r>
        <w:rPr>
          <w:rFonts w:ascii="Arial" w:hAnsi="Arial" w:cs="Arial"/>
          <w:sz w:val="20"/>
          <w:szCs w:val="20"/>
        </w:rPr>
        <w:t xml:space="preserve">top </w:t>
      </w:r>
      <w:r w:rsidRPr="008373C2">
        <w:rPr>
          <w:rFonts w:ascii="Arial" w:hAnsi="Arial" w:cs="Arial"/>
          <w:sz w:val="20"/>
          <w:szCs w:val="20"/>
        </w:rPr>
        <w:t xml:space="preserve">hit genes from </w:t>
      </w:r>
      <w:r>
        <w:rPr>
          <w:rFonts w:ascii="Arial" w:hAnsi="Arial" w:cs="Arial"/>
          <w:sz w:val="20"/>
          <w:szCs w:val="20"/>
        </w:rPr>
        <w:t xml:space="preserve">barcoded </w:t>
      </w:r>
      <w:r w:rsidRPr="008373C2">
        <w:rPr>
          <w:rFonts w:ascii="Arial" w:hAnsi="Arial" w:cs="Arial"/>
          <w:sz w:val="20"/>
          <w:szCs w:val="20"/>
        </w:rPr>
        <w:t xml:space="preserve">RH-seq mapping of thermotolerance, as inferred from gene trees and normalized for gene length. Each vertical bar reports inferred branch length, along the </w:t>
      </w:r>
      <w:r w:rsidRPr="008373C2">
        <w:rPr>
          <w:rFonts w:ascii="Arial" w:hAnsi="Arial" w:cs="Arial"/>
          <w:i/>
          <w:iCs/>
          <w:sz w:val="20"/>
          <w:szCs w:val="20"/>
        </w:rPr>
        <w:t>S. cerevisiae</w:t>
      </w:r>
      <w:r w:rsidRPr="008373C2">
        <w:rPr>
          <w:rFonts w:ascii="Arial" w:hAnsi="Arial" w:cs="Arial"/>
          <w:sz w:val="20"/>
          <w:szCs w:val="20"/>
        </w:rPr>
        <w:t xml:space="preserve"> lineage, of the indicated RH-seq hit gene. Horizontal lines report median branch lengths across the indicated gene sets.</w:t>
      </w:r>
      <w:r>
        <w:rPr>
          <w:rFonts w:ascii="Arial" w:hAnsi="Arial" w:cs="Arial"/>
          <w:sz w:val="20"/>
          <w:szCs w:val="20"/>
        </w:rPr>
        <w:t xml:space="preserve"> A resampling test for long branches on the </w:t>
      </w:r>
      <w:r>
        <w:rPr>
          <w:rFonts w:ascii="Arial" w:hAnsi="Arial" w:cs="Arial"/>
          <w:i/>
          <w:iCs/>
          <w:sz w:val="20"/>
          <w:szCs w:val="20"/>
        </w:rPr>
        <w:t>S. cerevisiae</w:t>
      </w:r>
      <w:r>
        <w:rPr>
          <w:rFonts w:ascii="Arial" w:hAnsi="Arial" w:cs="Arial"/>
          <w:sz w:val="20"/>
          <w:szCs w:val="20"/>
        </w:rPr>
        <w:t xml:space="preserve"> lineage </w:t>
      </w:r>
      <w:r>
        <w:rPr>
          <w:rFonts w:ascii="Arial" w:hAnsi="Arial" w:cs="Arial"/>
          <w:sz w:val="20"/>
          <w:szCs w:val="20"/>
        </w:rPr>
        <w:lastRenderedPageBreak/>
        <w:t>among top RH-seq hits revealed significant evidence for enrichment (</w:t>
      </w:r>
      <w:r w:rsidRPr="002F63E6">
        <w:rPr>
          <w:rFonts w:ascii="Arial" w:hAnsi="Arial" w:cs="Arial"/>
          <w:i/>
          <w:sz w:val="20"/>
          <w:szCs w:val="20"/>
        </w:rPr>
        <w:t>p</w:t>
      </w:r>
      <w:r>
        <w:rPr>
          <w:rFonts w:ascii="Arial" w:hAnsi="Arial" w:cs="Arial"/>
          <w:sz w:val="20"/>
          <w:szCs w:val="20"/>
        </w:rPr>
        <w:t xml:space="preserve"> = 0.0465) but not when </w:t>
      </w:r>
      <w:r w:rsidRPr="005B61BD">
        <w:rPr>
          <w:rFonts w:ascii="Arial" w:hAnsi="Arial" w:cs="Arial"/>
          <w:i/>
          <w:iCs/>
          <w:sz w:val="20"/>
          <w:szCs w:val="20"/>
        </w:rPr>
        <w:t>TAF2</w:t>
      </w:r>
      <w:r>
        <w:rPr>
          <w:rFonts w:ascii="Arial" w:hAnsi="Arial" w:cs="Arial"/>
          <w:sz w:val="20"/>
          <w:szCs w:val="20"/>
        </w:rPr>
        <w:t xml:space="preserve"> and </w:t>
      </w:r>
      <w:r w:rsidRPr="005B61BD">
        <w:rPr>
          <w:rFonts w:ascii="Arial" w:hAnsi="Arial" w:cs="Arial"/>
          <w:i/>
          <w:iCs/>
          <w:sz w:val="20"/>
          <w:szCs w:val="20"/>
        </w:rPr>
        <w:t>BUL1</w:t>
      </w:r>
      <w:r>
        <w:rPr>
          <w:rFonts w:ascii="Arial" w:hAnsi="Arial" w:cs="Arial"/>
          <w:sz w:val="20"/>
          <w:szCs w:val="20"/>
        </w:rPr>
        <w:t xml:space="preserve"> were eliminated (</w:t>
      </w:r>
      <w:r w:rsidRPr="00081C10">
        <w:rPr>
          <w:rFonts w:ascii="Arial" w:hAnsi="Arial" w:cs="Arial"/>
          <w:i/>
          <w:sz w:val="20"/>
          <w:szCs w:val="20"/>
        </w:rPr>
        <w:t>p</w:t>
      </w:r>
      <w:r>
        <w:rPr>
          <w:rFonts w:ascii="Arial" w:hAnsi="Arial" w:cs="Arial"/>
          <w:sz w:val="20"/>
          <w:szCs w:val="20"/>
        </w:rPr>
        <w:t xml:space="preserve"> = 0.1574), attesting to the particularly strong inference of accelerated evolution in the latter two genes.</w:t>
      </w:r>
    </w:p>
    <w:p w14:paraId="34AB28BE" w14:textId="2EAAEEC3" w:rsidR="007A2D4F" w:rsidRDefault="007A2D4F">
      <w:pPr>
        <w:rPr>
          <w:rFonts w:ascii="Arial" w:hAnsi="Arial" w:cs="Arial"/>
          <w:sz w:val="20"/>
          <w:szCs w:val="20"/>
        </w:rPr>
      </w:pPr>
    </w:p>
    <w:p w14:paraId="6E968A7A" w14:textId="56EB3DB9" w:rsidR="007A2D4F" w:rsidRPr="007A2D4F" w:rsidRDefault="007A2D4F">
      <w:pPr>
        <w:rPr>
          <w:rFonts w:ascii="Arial" w:hAnsi="Arial" w:cs="Arial"/>
          <w:b/>
          <w:bCs/>
          <w:sz w:val="20"/>
          <w:szCs w:val="20"/>
        </w:rPr>
      </w:pPr>
      <w:r w:rsidRPr="007A2D4F">
        <w:rPr>
          <w:rFonts w:ascii="Arial" w:hAnsi="Arial" w:cs="Arial"/>
          <w:b/>
          <w:bCs/>
          <w:sz w:val="20"/>
          <w:szCs w:val="20"/>
        </w:rPr>
        <w:t>Supplemental Literature Cited</w:t>
      </w:r>
    </w:p>
    <w:p w14:paraId="19ABCF88" w14:textId="77777777" w:rsidR="007A2D4F" w:rsidRPr="007A2D4F" w:rsidRDefault="007A2D4F">
      <w:pPr>
        <w:rPr>
          <w:rFonts w:ascii="Arial" w:hAnsi="Arial" w:cs="Arial"/>
          <w:b/>
          <w:bCs/>
          <w:sz w:val="20"/>
          <w:szCs w:val="20"/>
        </w:rPr>
      </w:pPr>
    </w:p>
    <w:p w14:paraId="55695EF1" w14:textId="77777777" w:rsidR="007A2D4F" w:rsidRPr="007A2D4F" w:rsidRDefault="007A2D4F" w:rsidP="007A2D4F">
      <w:pPr>
        <w:pStyle w:val="Bibliography"/>
        <w:rPr>
          <w:rFonts w:ascii="Arial" w:hAnsi="Arial" w:cs="Arial"/>
          <w:sz w:val="20"/>
          <w:szCs w:val="20"/>
        </w:rPr>
      </w:pPr>
      <w:proofErr w:type="spellStart"/>
      <w:r w:rsidRPr="007A2D4F">
        <w:rPr>
          <w:rFonts w:ascii="Arial" w:hAnsi="Arial" w:cs="Arial"/>
          <w:sz w:val="20"/>
          <w:szCs w:val="20"/>
        </w:rPr>
        <w:t>Morellet</w:t>
      </w:r>
      <w:proofErr w:type="spellEnd"/>
      <w:r w:rsidRPr="007A2D4F">
        <w:rPr>
          <w:rFonts w:ascii="Arial" w:hAnsi="Arial" w:cs="Arial"/>
          <w:sz w:val="20"/>
          <w:szCs w:val="20"/>
        </w:rPr>
        <w:t xml:space="preserve"> N, Li X, </w:t>
      </w:r>
      <w:proofErr w:type="spellStart"/>
      <w:r w:rsidRPr="007A2D4F">
        <w:rPr>
          <w:rFonts w:ascii="Arial" w:hAnsi="Arial" w:cs="Arial"/>
          <w:sz w:val="20"/>
          <w:szCs w:val="20"/>
        </w:rPr>
        <w:t>Wieninger</w:t>
      </w:r>
      <w:proofErr w:type="spellEnd"/>
      <w:r w:rsidRPr="007A2D4F">
        <w:rPr>
          <w:rFonts w:ascii="Arial" w:hAnsi="Arial" w:cs="Arial"/>
          <w:sz w:val="20"/>
          <w:szCs w:val="20"/>
        </w:rPr>
        <w:t xml:space="preserve"> SA, Taylor JL, </w:t>
      </w:r>
      <w:proofErr w:type="spellStart"/>
      <w:r w:rsidRPr="007A2D4F">
        <w:rPr>
          <w:rFonts w:ascii="Arial" w:hAnsi="Arial" w:cs="Arial"/>
          <w:sz w:val="20"/>
          <w:szCs w:val="20"/>
        </w:rPr>
        <w:t>Bischerour</w:t>
      </w:r>
      <w:proofErr w:type="spellEnd"/>
      <w:r w:rsidRPr="007A2D4F">
        <w:rPr>
          <w:rFonts w:ascii="Arial" w:hAnsi="Arial" w:cs="Arial"/>
          <w:sz w:val="20"/>
          <w:szCs w:val="20"/>
        </w:rPr>
        <w:t xml:space="preserve"> J, </w:t>
      </w:r>
      <w:proofErr w:type="spellStart"/>
      <w:r w:rsidRPr="007A2D4F">
        <w:rPr>
          <w:rFonts w:ascii="Arial" w:hAnsi="Arial" w:cs="Arial"/>
          <w:sz w:val="20"/>
          <w:szCs w:val="20"/>
        </w:rPr>
        <w:t>Moriau</w:t>
      </w:r>
      <w:proofErr w:type="spellEnd"/>
      <w:r w:rsidRPr="007A2D4F">
        <w:rPr>
          <w:rFonts w:ascii="Arial" w:hAnsi="Arial" w:cs="Arial"/>
          <w:sz w:val="20"/>
          <w:szCs w:val="20"/>
        </w:rPr>
        <w:t xml:space="preserve"> S, </w:t>
      </w:r>
      <w:proofErr w:type="spellStart"/>
      <w:r w:rsidRPr="007A2D4F">
        <w:rPr>
          <w:rFonts w:ascii="Arial" w:hAnsi="Arial" w:cs="Arial"/>
          <w:sz w:val="20"/>
          <w:szCs w:val="20"/>
        </w:rPr>
        <w:t>Lescop</w:t>
      </w:r>
      <w:proofErr w:type="spellEnd"/>
      <w:r w:rsidRPr="007A2D4F">
        <w:rPr>
          <w:rFonts w:ascii="Arial" w:hAnsi="Arial" w:cs="Arial"/>
          <w:sz w:val="20"/>
          <w:szCs w:val="20"/>
        </w:rPr>
        <w:t xml:space="preserve"> E, </w:t>
      </w:r>
      <w:proofErr w:type="spellStart"/>
      <w:r w:rsidRPr="007A2D4F">
        <w:rPr>
          <w:rFonts w:ascii="Arial" w:hAnsi="Arial" w:cs="Arial"/>
          <w:sz w:val="20"/>
          <w:szCs w:val="20"/>
        </w:rPr>
        <w:t>Bardiaux</w:t>
      </w:r>
      <w:proofErr w:type="spellEnd"/>
      <w:r w:rsidRPr="007A2D4F">
        <w:rPr>
          <w:rFonts w:ascii="Arial" w:hAnsi="Arial" w:cs="Arial"/>
          <w:sz w:val="20"/>
          <w:szCs w:val="20"/>
        </w:rPr>
        <w:t xml:space="preserve"> B, </w:t>
      </w:r>
      <w:proofErr w:type="spellStart"/>
      <w:r w:rsidRPr="007A2D4F">
        <w:rPr>
          <w:rFonts w:ascii="Arial" w:hAnsi="Arial" w:cs="Arial"/>
          <w:sz w:val="20"/>
          <w:szCs w:val="20"/>
        </w:rPr>
        <w:t>Mathy</w:t>
      </w:r>
      <w:proofErr w:type="spellEnd"/>
      <w:r w:rsidRPr="007A2D4F">
        <w:rPr>
          <w:rFonts w:ascii="Arial" w:hAnsi="Arial" w:cs="Arial"/>
          <w:sz w:val="20"/>
          <w:szCs w:val="20"/>
        </w:rPr>
        <w:t xml:space="preserve"> N, </w:t>
      </w:r>
      <w:proofErr w:type="spellStart"/>
      <w:r w:rsidRPr="007A2D4F">
        <w:rPr>
          <w:rFonts w:ascii="Arial" w:hAnsi="Arial" w:cs="Arial"/>
          <w:sz w:val="20"/>
          <w:szCs w:val="20"/>
        </w:rPr>
        <w:t>Assrir</w:t>
      </w:r>
      <w:proofErr w:type="spellEnd"/>
      <w:r w:rsidRPr="007A2D4F">
        <w:rPr>
          <w:rFonts w:ascii="Arial" w:hAnsi="Arial" w:cs="Arial"/>
          <w:sz w:val="20"/>
          <w:szCs w:val="20"/>
        </w:rPr>
        <w:t xml:space="preserve"> N, et al. 2018. Sequence-specific DNA binding activity of the cross-brace zinc finger motif of the piggyBac transposase. Nucleic Acids Research. 46(5):2660–2677. doi:10.1093/</w:t>
      </w:r>
      <w:proofErr w:type="spellStart"/>
      <w:r w:rsidRPr="007A2D4F">
        <w:rPr>
          <w:rFonts w:ascii="Arial" w:hAnsi="Arial" w:cs="Arial"/>
          <w:sz w:val="20"/>
          <w:szCs w:val="20"/>
        </w:rPr>
        <w:t>nar</w:t>
      </w:r>
      <w:proofErr w:type="spellEnd"/>
      <w:r w:rsidRPr="007A2D4F">
        <w:rPr>
          <w:rFonts w:ascii="Arial" w:hAnsi="Arial" w:cs="Arial"/>
          <w:sz w:val="20"/>
          <w:szCs w:val="20"/>
        </w:rPr>
        <w:t>/gky044.</w:t>
      </w:r>
    </w:p>
    <w:p w14:paraId="2602D31A" w14:textId="1C701752" w:rsidR="007A2D4F" w:rsidRPr="007A2D4F" w:rsidRDefault="007A2D4F">
      <w:pPr>
        <w:rPr>
          <w:rFonts w:ascii="Arial" w:hAnsi="Arial" w:cs="Arial"/>
          <w:sz w:val="20"/>
          <w:szCs w:val="20"/>
        </w:rPr>
      </w:pPr>
    </w:p>
    <w:p w14:paraId="6A8FEE04" w14:textId="77777777" w:rsidR="007A2D4F" w:rsidRPr="007A2D4F" w:rsidRDefault="007A2D4F" w:rsidP="007A2D4F">
      <w:pPr>
        <w:pStyle w:val="Bibliography"/>
        <w:rPr>
          <w:rFonts w:ascii="Arial" w:hAnsi="Arial" w:cs="Arial"/>
          <w:sz w:val="20"/>
          <w:szCs w:val="20"/>
        </w:rPr>
      </w:pPr>
      <w:proofErr w:type="spellStart"/>
      <w:r w:rsidRPr="007A2D4F">
        <w:rPr>
          <w:rFonts w:ascii="Arial" w:hAnsi="Arial" w:cs="Arial"/>
          <w:sz w:val="20"/>
          <w:szCs w:val="20"/>
        </w:rPr>
        <w:t>Yusa</w:t>
      </w:r>
      <w:proofErr w:type="spellEnd"/>
      <w:r w:rsidRPr="007A2D4F">
        <w:rPr>
          <w:rFonts w:ascii="Arial" w:hAnsi="Arial" w:cs="Arial"/>
          <w:sz w:val="20"/>
          <w:szCs w:val="20"/>
        </w:rPr>
        <w:t xml:space="preserve"> K, Zhou L, Li MA, Bradley A, Craig NL. 2011. A hyperactive piggyBac transposase for mammalian applications. PNAS. 108(4):1531–1536. doi:10.1073/pnas.1008322108.</w:t>
      </w:r>
    </w:p>
    <w:p w14:paraId="133B71F8" w14:textId="77777777" w:rsidR="007A2D4F" w:rsidRPr="007A2D4F" w:rsidRDefault="007A2D4F">
      <w:pPr>
        <w:rPr>
          <w:rFonts w:ascii="Arial" w:hAnsi="Arial" w:cs="Arial"/>
          <w:sz w:val="20"/>
          <w:szCs w:val="20"/>
        </w:rPr>
      </w:pPr>
    </w:p>
    <w:sectPr w:rsidR="007A2D4F" w:rsidRPr="007A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71"/>
    <w:rsid w:val="007A2D4F"/>
    <w:rsid w:val="00856E9B"/>
    <w:rsid w:val="00B37688"/>
    <w:rsid w:val="00E46058"/>
    <w:rsid w:val="00E96171"/>
    <w:rsid w:val="00E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4981"/>
  <w15:chartTrackingRefBased/>
  <w15:docId w15:val="{C4145327-31D8-4CA2-A5A1-F25D3F8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7A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2561</Words>
  <Characters>14598</Characters>
  <Application>Microsoft Office Word</Application>
  <DocSecurity>0</DocSecurity>
  <Lines>121</Lines>
  <Paragraphs>34</Paragraphs>
  <ScaleCrop>false</ScaleCrop>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Abrams</dc:creator>
  <cp:keywords/>
  <dc:description/>
  <cp:lastModifiedBy>Ruth Isaacson</cp:lastModifiedBy>
  <cp:revision>2</cp:revision>
  <dcterms:created xsi:type="dcterms:W3CDTF">2021-11-24T16:00:00Z</dcterms:created>
  <dcterms:modified xsi:type="dcterms:W3CDTF">2021-12-14T22:59:00Z</dcterms:modified>
</cp:coreProperties>
</file>