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F6" w:rsidRDefault="007F61F6" w:rsidP="007F61F6">
      <w:pPr>
        <w:spacing w:line="360" w:lineRule="auto"/>
        <w:jc w:val="both"/>
        <w:rPr>
          <w:lang w:val="en-US"/>
        </w:rPr>
      </w:pPr>
      <w:bookmarkStart w:id="0" w:name="_GoBack"/>
      <w:r>
        <w:rPr>
          <w:lang w:val="en-US"/>
        </w:rPr>
        <w:t>Supplementary Table 5.</w:t>
      </w:r>
      <w:r>
        <w:rPr>
          <w:lang w:val="en-US"/>
        </w:rPr>
        <w:t xml:space="preserve"> </w:t>
      </w:r>
      <w:r w:rsidRPr="00C943C8">
        <w:rPr>
          <w:lang w:val="en-US"/>
        </w:rPr>
        <w:t xml:space="preserve">Strains used in this </w:t>
      </w:r>
      <w:r>
        <w:rPr>
          <w:lang w:val="en-US"/>
        </w:rPr>
        <w:t>work</w:t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1980"/>
        <w:gridCol w:w="4394"/>
        <w:gridCol w:w="2636"/>
      </w:tblGrid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7F61F6" w:rsidRPr="00A229B0" w:rsidRDefault="007F61F6" w:rsidP="009E275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b/>
                <w:bCs/>
                <w:color w:val="000000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b/>
                <w:bCs/>
                <w:color w:val="000000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b/>
                <w:bCs/>
                <w:color w:val="000000"/>
                <w:sz w:val="20"/>
                <w:szCs w:val="20"/>
                <w:lang w:val="en-US"/>
              </w:rPr>
              <w:t>Reference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color w:val="000000"/>
                <w:sz w:val="20"/>
                <w:szCs w:val="20"/>
                <w:lang w:val="en-US"/>
              </w:rPr>
              <w:t>CEA17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akuB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 (KU80)</w:t>
            </w:r>
            <w:r w:rsidRPr="006E329E">
              <w:rPr>
                <w:color w:val="000000"/>
                <w:sz w:val="20"/>
                <w:szCs w:val="20"/>
              </w:rPr>
              <w:t>Δ</w:t>
            </w:r>
            <w:r w:rsidRPr="00A229B0">
              <w:rPr>
                <w:color w:val="000000"/>
                <w:sz w:val="20"/>
                <w:szCs w:val="20"/>
                <w:lang w:val="en-US"/>
              </w:rPr>
              <w:t>, MAT1-1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B723F5" w:rsidRDefault="007F61F6" w:rsidP="009E2752">
            <w:pPr>
              <w:rPr>
                <w:color w:val="000000"/>
                <w:sz w:val="20"/>
                <w:szCs w:val="20"/>
              </w:rPr>
            </w:pPr>
            <w:r w:rsidRPr="00B723F5">
              <w:rPr>
                <w:color w:val="000000"/>
                <w:sz w:val="20"/>
                <w:szCs w:val="20"/>
              </w:rPr>
              <w:t>Da Silva Ferreira et al., 2006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color w:val="000000"/>
                <w:sz w:val="20"/>
                <w:szCs w:val="20"/>
                <w:lang w:val="en-US"/>
              </w:rPr>
              <w:t>Af293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color w:val="000000"/>
                <w:sz w:val="20"/>
                <w:szCs w:val="20"/>
                <w:lang w:val="en-US"/>
              </w:rPr>
              <w:t>Wild-type, MAT1-2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A229B0">
              <w:rPr>
                <w:color w:val="000000"/>
                <w:sz w:val="20"/>
                <w:szCs w:val="20"/>
                <w:lang w:val="en-US"/>
              </w:rPr>
              <w:t>ASPGD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6E329E">
              <w:rPr>
                <w:color w:val="000000"/>
                <w:sz w:val="20"/>
                <w:szCs w:val="20"/>
              </w:rPr>
              <w:t>Δ</w:t>
            </w:r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r w:rsidRPr="00A229B0">
              <w:rPr>
                <w:color w:val="000000"/>
                <w:sz w:val="20"/>
                <w:szCs w:val="20"/>
                <w:vertAlign w:val="superscript"/>
                <w:lang w:val="en-US"/>
              </w:rPr>
              <w:t>Af293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6E329E">
              <w:rPr>
                <w:color w:val="000000"/>
                <w:sz w:val="20"/>
                <w:szCs w:val="20"/>
              </w:rPr>
              <w:t>Δ</w:t>
            </w: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pyrG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pyrG</w:t>
            </w:r>
            <w:r w:rsidRPr="00A229B0">
              <w:rPr>
                <w:color w:val="000000"/>
                <w:sz w:val="20"/>
                <w:szCs w:val="20"/>
                <w:lang w:val="en-US"/>
              </w:rPr>
              <w:t>1, MAT1-2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229B0">
              <w:rPr>
                <w:color w:val="000000"/>
                <w:sz w:val="20"/>
                <w:szCs w:val="20"/>
                <w:lang w:val="en-US"/>
              </w:rPr>
              <w:t>Ries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 et al., 2017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6E329E">
              <w:rPr>
                <w:color w:val="000000"/>
                <w:sz w:val="20"/>
                <w:szCs w:val="20"/>
              </w:rPr>
              <w:t>Δ</w:t>
            </w:r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r w:rsidRPr="00A229B0">
              <w:rPr>
                <w:color w:val="000000"/>
                <w:sz w:val="20"/>
                <w:szCs w:val="20"/>
                <w:vertAlign w:val="superscript"/>
                <w:lang w:val="en-US"/>
              </w:rPr>
              <w:t>CEA17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r w:rsidRPr="006E329E">
              <w:rPr>
                <w:color w:val="000000"/>
                <w:sz w:val="20"/>
                <w:szCs w:val="20"/>
              </w:rPr>
              <w:t>Δ</w:t>
            </w: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pyrG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29B0">
              <w:rPr>
                <w:i/>
                <w:iCs/>
                <w:color w:val="000000"/>
                <w:sz w:val="20"/>
                <w:szCs w:val="20"/>
                <w:lang w:val="en-US"/>
              </w:rPr>
              <w:t>akuB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 (KU80)</w:t>
            </w:r>
            <w:r w:rsidRPr="006E329E">
              <w:rPr>
                <w:color w:val="000000"/>
                <w:sz w:val="20"/>
                <w:szCs w:val="20"/>
              </w:rPr>
              <w:t>Δ</w:t>
            </w:r>
            <w:r w:rsidRPr="00A229B0">
              <w:rPr>
                <w:color w:val="000000"/>
                <w:sz w:val="20"/>
                <w:szCs w:val="20"/>
                <w:lang w:val="en-US"/>
              </w:rPr>
              <w:t>, MAT1-1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229B0">
              <w:rPr>
                <w:color w:val="000000"/>
                <w:sz w:val="20"/>
                <w:szCs w:val="20"/>
                <w:lang w:val="en-US"/>
              </w:rPr>
              <w:t>Soriani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 et al., 2008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63634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r>
              <w:rPr>
                <w:color w:val="000000"/>
                <w:sz w:val="20"/>
                <w:szCs w:val="20"/>
                <w:lang w:val="en-US"/>
              </w:rPr>
              <w:t>:GFP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F26606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63634">
              <w:rPr>
                <w:i/>
                <w:iCs/>
                <w:color w:val="000000"/>
                <w:sz w:val="20"/>
                <w:szCs w:val="20"/>
                <w:lang w:val="en-US"/>
              </w:rPr>
              <w:t>crzA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::GFP::</w:t>
            </w:r>
            <w:proofErr w:type="spellStart"/>
            <w:r w:rsidRPr="00F26606">
              <w:rPr>
                <w:i/>
                <w:iCs/>
                <w:color w:val="000000"/>
                <w:sz w:val="20"/>
                <w:szCs w:val="20"/>
                <w:lang w:val="en-US"/>
              </w:rPr>
              <w:t>pyrG</w:t>
            </w:r>
            <w:proofErr w:type="spellEnd"/>
            <w:r w:rsidRPr="00F2660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6606">
              <w:rPr>
                <w:i/>
                <w:iCs/>
                <w:color w:val="000000"/>
                <w:sz w:val="20"/>
                <w:szCs w:val="20"/>
                <w:lang w:val="en-US"/>
              </w:rPr>
              <w:t>akuB</w:t>
            </w:r>
            <w:proofErr w:type="spellEnd"/>
            <w:r w:rsidRPr="00F26606">
              <w:rPr>
                <w:color w:val="000000"/>
                <w:sz w:val="20"/>
                <w:szCs w:val="20"/>
                <w:lang w:val="en-US"/>
              </w:rPr>
              <w:t xml:space="preserve"> (KU80)</w:t>
            </w:r>
            <w:r w:rsidRPr="006E329E">
              <w:rPr>
                <w:color w:val="000000"/>
                <w:sz w:val="20"/>
                <w:szCs w:val="20"/>
              </w:rPr>
              <w:t>Δ</w:t>
            </w:r>
            <w:r w:rsidRPr="00F26606">
              <w:rPr>
                <w:color w:val="000000"/>
                <w:sz w:val="20"/>
                <w:szCs w:val="20"/>
                <w:lang w:val="en-US"/>
              </w:rPr>
              <w:t>, MAT1-1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229B0">
              <w:rPr>
                <w:color w:val="000000"/>
                <w:sz w:val="20"/>
                <w:szCs w:val="20"/>
                <w:lang w:val="en-US"/>
              </w:rPr>
              <w:t>Ries</w:t>
            </w:r>
            <w:proofErr w:type="spellEnd"/>
            <w:r w:rsidRPr="00A229B0">
              <w:rPr>
                <w:color w:val="000000"/>
                <w:sz w:val="20"/>
                <w:szCs w:val="20"/>
                <w:lang w:val="en-US"/>
              </w:rPr>
              <w:t xml:space="preserve"> et al., 2017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fapR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ΔakuB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::A.f.pyrG;pyrG1;ΔAfuB_086150::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A.p.pyrG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Wiermann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et al., 2013</w:t>
            </w:r>
          </w:p>
        </w:tc>
      </w:tr>
      <w:tr w:rsidR="007F61F6" w:rsidRPr="00EE14C4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fmaA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ΔakuB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::A.f.pyrG;pyrG1;ΔAfuB_086050::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A.p.pyrG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Wiermann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et al., 2013</w:t>
            </w:r>
          </w:p>
        </w:tc>
      </w:tr>
      <w:tr w:rsidR="007F61F6" w:rsidRPr="00A229B0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ΔnkuB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, pyrG1,∆hasA::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AppyrG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Wiermann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et al., 2014</w:t>
            </w:r>
          </w:p>
        </w:tc>
      </w:tr>
      <w:tr w:rsidR="007F61F6" w:rsidRPr="00EE14C4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hasAOE</w:t>
            </w:r>
            <w:r w:rsidRPr="006561D3">
              <w:rPr>
                <w:color w:val="000000"/>
                <w:sz w:val="20"/>
                <w:szCs w:val="20"/>
                <w:vertAlign w:val="superscript"/>
                <w:lang w:val="en-US"/>
              </w:rPr>
              <w:t>CEA17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A.ppyrG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gpdA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(p)::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hasA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nkuB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, pyrG1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Wiermann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et al., 2014</w:t>
            </w:r>
          </w:p>
        </w:tc>
      </w:tr>
      <w:tr w:rsidR="007F61F6" w:rsidRPr="00EE14C4" w:rsidTr="009E2752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hasAOE</w:t>
            </w:r>
            <w:r w:rsidRPr="006561D3">
              <w:rPr>
                <w:color w:val="000000"/>
                <w:sz w:val="20"/>
                <w:szCs w:val="20"/>
                <w:vertAlign w:val="superscript"/>
                <w:lang w:val="en-US"/>
              </w:rPr>
              <w:t>Af293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663634" w:rsidRDefault="007F61F6" w:rsidP="009E2752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A.ppyrG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gpdA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(p)::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hasA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nkuB</w:t>
            </w:r>
            <w:proofErr w:type="spellEnd"/>
            <w:r w:rsidRPr="00EE14C4">
              <w:rPr>
                <w:i/>
                <w:iCs/>
                <w:color w:val="000000"/>
                <w:sz w:val="20"/>
                <w:szCs w:val="20"/>
                <w:lang w:val="en-US"/>
              </w:rPr>
              <w:t>, pyrG1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1F6" w:rsidRPr="00A229B0" w:rsidRDefault="007F61F6" w:rsidP="009E275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Wiermann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et al., 2014</w:t>
            </w:r>
          </w:p>
        </w:tc>
      </w:tr>
    </w:tbl>
    <w:p w:rsidR="007F61F6" w:rsidRDefault="007F61F6" w:rsidP="007F61F6">
      <w:pPr>
        <w:spacing w:line="360" w:lineRule="auto"/>
        <w:jc w:val="both"/>
        <w:rPr>
          <w:b/>
          <w:bCs/>
          <w:lang w:val="en-US"/>
        </w:rPr>
      </w:pPr>
    </w:p>
    <w:p w:rsidR="008958C6" w:rsidRDefault="008958C6"/>
    <w:sectPr w:rsidR="0089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6"/>
    <w:rsid w:val="007F61F6"/>
    <w:rsid w:val="008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165"/>
  <w15:chartTrackingRefBased/>
  <w15:docId w15:val="{80FBAE16-4048-4198-8E62-FEB834F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</dc:creator>
  <cp:keywords/>
  <dc:description/>
  <cp:lastModifiedBy>Goldman</cp:lastModifiedBy>
  <cp:revision>1</cp:revision>
  <dcterms:created xsi:type="dcterms:W3CDTF">2021-07-08T17:09:00Z</dcterms:created>
  <dcterms:modified xsi:type="dcterms:W3CDTF">2021-07-08T17:09:00Z</dcterms:modified>
</cp:coreProperties>
</file>