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spacing w:before="140" w:after="120"/>
        <w:ind w:left="0" w:right="0" w:hanging="0"/>
        <w:rPr/>
      </w:pPr>
      <w:r>
        <w:rPr/>
        <w:t>General information</w:t>
      </w:r>
    </w:p>
    <w:p>
      <w:pPr>
        <w:pStyle w:val="TextBody"/>
        <w:spacing w:before="14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file explains the contents of Supplementary Files S2 – S11.</w:t>
      </w:r>
    </w:p>
    <w:p>
      <w:pPr>
        <w:pStyle w:val="Normal"/>
        <w:rPr>
          <w:rFonts w:ascii="Arial" w:hAnsi="Arial" w:cs="Liberation Sans;Arial"/>
          <w:b/>
          <w:b/>
          <w:bCs/>
          <w:sz w:val="22"/>
          <w:szCs w:val="22"/>
        </w:rPr>
      </w:pPr>
      <w:r>
        <w:rPr>
          <w:rFonts w:cs="Liberation Sans;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The numbering of baits and loci follows the numbering of contigs in the CLC assembly (ENA project accession </w:t>
      </w:r>
      <w:bookmarkStart w:id="0" w:name="docs-internal-guid-04524714-7fff-675c-9f"/>
      <w:bookmarkEnd w:id="0"/>
      <w:r>
        <w:rPr>
          <w:rFonts w:cs="Liberation Sans;Arial" w:ascii="Liberation Sans;Arial" w:hAnsi="Liberation Sans;Arial"/>
          <w:b w:val="false"/>
          <w:i w:val="false"/>
          <w:caps w:val="false"/>
          <w:smallCaps w:val="false"/>
          <w:strike w:val="false"/>
          <w:dstrike w:val="false"/>
          <w:color w:val="00000A"/>
          <w:sz w:val="24"/>
          <w:u w:val="none"/>
        </w:rPr>
        <w:t>PRJEB3509</w:t>
      </w:r>
      <w:r>
        <w:rPr>
          <w:rFonts w:cs="Liberation Sans;Arial" w:ascii="Liberation Sans;Arial" w:hAnsi="Liberation Sans;Arial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 xml:space="preserve">9) </w:t>
      </w:r>
      <w:r>
        <w:rPr>
          <w:rFonts w:cs="Liberation Sans;Arial" w:ascii="Liberation Sans;Arial" w:hAnsi="Liberation Sans;Arial"/>
          <w:b w:val="false"/>
          <w:bCs w:val="false"/>
          <w:color w:val="auto"/>
          <w:sz w:val="22"/>
          <w:szCs w:val="22"/>
        </w:rPr>
        <w:t>f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rom which they were derived. For example, CLC contig_2892421 is the source of bait sequences Bv-contig2892421 _0, Bv-contig2892421 _50, Bv-contig2892421 _100 and Bv-contig2892421 _150 (File S4) that jointly capture the mapped locus 2892421 (FileS6). That particular CLC contig has BLAST+ matches to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Sox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3 genes in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Glandirana rugosa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and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 xml:space="preserve">Bombina orientalis </w:t>
      </w:r>
      <w:r>
        <w:rPr>
          <w:rFonts w:cs="Liberation Sans;Arial" w:ascii="Liberation Sans;Arial" w:hAnsi="Liberation Sans;Arial"/>
          <w:b w:val="false"/>
          <w:bCs w:val="false"/>
          <w:i w:val="false"/>
          <w:iCs w:val="false"/>
          <w:sz w:val="22"/>
          <w:szCs w:val="22"/>
        </w:rPr>
        <w:t>(File S7)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b w:val="false"/>
          <w:b w:val="false"/>
          <w:bCs w:val="false"/>
          <w:sz w:val="22"/>
          <w:szCs w:val="22"/>
        </w:rPr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b w:val="false"/>
          <w:b w:val="false"/>
          <w:bCs w:val="false"/>
          <w:sz w:val="22"/>
          <w:szCs w:val="22"/>
        </w:rPr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In Files S3 and S5, the following names are applied to the F0 and F1 samples (ENA sample accession after the comma):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BvvGP =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B. v. variegata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F0 male, ERS3926742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BbGP =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B. bombina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F0 female, ERS3926743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F1M = F1 male (sire for families 6 and 7), </w:t>
      </w:r>
      <w:r>
        <w:rPr>
          <w:rFonts w:cs="Liberation Sans;Arial" w:ascii="Liberation Sans;Arial" w:hAnsi="Liberation Sans;Arial"/>
          <w:b w:val="false"/>
          <w:bCs w:val="false"/>
          <w:sz w:val="24"/>
          <w:szCs w:val="24"/>
        </w:rPr>
        <w:t>ERS5083645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b w:val="false"/>
          <w:b w:val="false"/>
          <w:bCs w:val="false"/>
          <w:sz w:val="22"/>
          <w:szCs w:val="22"/>
        </w:rPr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F1Fam6F = F1 female (family 6), ERS5083565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b w:val="false"/>
          <w:b w:val="false"/>
          <w:bCs w:val="false"/>
          <w:sz w:val="22"/>
          <w:szCs w:val="22"/>
        </w:rPr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F1Fam7F = F1 female (family 7), ERS5083646</w:t>
      </w:r>
    </w:p>
    <w:p>
      <w:pPr>
        <w:pStyle w:val="Normal"/>
        <w:spacing w:lineRule="auto" w:line="360"/>
        <w:rPr/>
      </w:pPr>
      <w:r>
        <w:rPr/>
      </w:r>
    </w:p>
    <w:p>
      <w:pPr>
        <w:pStyle w:val="Heading3"/>
        <w:numPr>
          <w:ilvl w:val="2"/>
          <w:numId w:val="1"/>
        </w:numPr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File S2 Fast Vector  (FastVec) Mathematica script</w:t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>
          <w:rFonts w:cs="Helvetica;Arial" w:ascii="Helvetica;Arial" w:hAnsi="Helvetica;Arial"/>
          <w:b w:val="false"/>
          <w:bCs w:val="false"/>
          <w:color w:val="000000"/>
          <w:sz w:val="22"/>
          <w:szCs w:val="22"/>
        </w:rPr>
        <w:t xml:space="preserve">The FastVec v2.2beta.cdf script can be opened using the (free) Wolfram Player: </w:t>
      </w:r>
      <w:hyperlink r:id="rId2">
        <w:r>
          <w:rPr>
            <w:rStyle w:val="InternetLink"/>
            <w:rFonts w:cs="Helvetica;Arial" w:ascii="Helvetica;Arial" w:hAnsi="Helvetica;Arial"/>
            <w:b w:val="false"/>
            <w:bCs w:val="false"/>
            <w:color w:val="000000"/>
            <w:sz w:val="22"/>
            <w:szCs w:val="22"/>
          </w:rPr>
          <w:t>https://www.wolfram.com/player/</w:t>
        </w:r>
      </w:hyperlink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>File S3 Lep-MAP3 input file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b w:val="false"/>
          <w:b w:val="false"/>
          <w:bCs w:val="false"/>
          <w:sz w:val="22"/>
          <w:szCs w:val="22"/>
        </w:rPr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The Lep-MAP3 input file contains 4799 loci that were suitable for mapping. Starting with line 7, each line represents a locus. The first column contains the name of the cluster to which the locus was assigned in an initial graph-based clustering analysis. The second column is the locus name. Typically, these columns give the scaffold name and sequence position, respectively. Both columns are ignored by Lep-MAP3.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>FileS4 bait sequences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sz w:val="22"/>
          <w:szCs w:val="22"/>
        </w:rPr>
        <w:t xml:space="preserve">The DNA sequences for 20,000 baits (100 base long each) in fasta format, derived from the 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>B. v. variegata</w:t>
      </w:r>
      <w:r>
        <w:rPr>
          <w:rFonts w:cs="Liberation Sans;Arial" w:ascii="Liberation Sans;Arial" w:hAnsi="Liberation Sans;Arial"/>
          <w:sz w:val="22"/>
          <w:szCs w:val="22"/>
        </w:rPr>
        <w:t xml:space="preserve"> CLC genome assembly. There are four baits per target. See also the general information above.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Heading3"/>
        <w:numPr>
          <w:ilvl w:val="2"/>
          <w:numId w:val="1"/>
        </w:numPr>
        <w:ind w:left="0" w:right="0" w:hanging="0"/>
        <w:rPr>
          <w:b/>
          <w:b/>
          <w:bCs/>
        </w:rPr>
      </w:pPr>
      <w:r>
        <w:rPr>
          <w:b/>
          <w:bCs/>
        </w:rPr>
        <w:t>File S5 Diplotype matrix from FastVec analysis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sz w:val="22"/>
          <w:szCs w:val="22"/>
        </w:rPr>
        <w:t>This file contains the output from the FastVec Mathematica script (File S2) for each of the 5000 enrichment targets (= loci). Maximum likelihood diplotypes for the F0 (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>n</w:t>
      </w:r>
      <w:r>
        <w:rPr>
          <w:rFonts w:cs="Liberation Sans;Arial" w:ascii="Liberation Sans;Arial" w:hAnsi="Liberation Sans;Arial"/>
          <w:sz w:val="22"/>
          <w:szCs w:val="22"/>
        </w:rPr>
        <w:t xml:space="preserve"> = 2), F1 (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>n</w:t>
      </w:r>
      <w:r>
        <w:rPr>
          <w:rFonts w:cs="Liberation Sans;Arial" w:ascii="Liberation Sans;Arial" w:hAnsi="Liberation Sans;Arial"/>
          <w:sz w:val="22"/>
          <w:szCs w:val="22"/>
        </w:rPr>
        <w:t xml:space="preserve"> = 3) and F2 (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>n</w:t>
      </w:r>
      <w:r>
        <w:rPr>
          <w:rFonts w:cs="Liberation Sans;Arial" w:ascii="Liberation Sans;Arial" w:hAnsi="Liberation Sans;Arial"/>
          <w:sz w:val="22"/>
          <w:szCs w:val="22"/>
        </w:rPr>
        <w:t xml:space="preserve"> = 162) generations are listed in columns labeled </w:t>
      </w:r>
      <w:r>
        <w:rPr>
          <w:rFonts w:cs="Courier 10 Pitch" w:ascii="Courier 10 Pitch" w:hAnsi="Courier 10 Pitch"/>
          <w:sz w:val="22"/>
          <w:szCs w:val="22"/>
        </w:rPr>
        <w:t>&lt;sample_name&gt;_HHHest</w:t>
      </w:r>
      <w:r>
        <w:rPr>
          <w:rFonts w:cs="Liberation Sans;Arial" w:ascii="Liberation Sans;Arial" w:hAnsi="Liberation Sans;Arial"/>
          <w:sz w:val="22"/>
          <w:szCs w:val="22"/>
        </w:rPr>
        <w:t xml:space="preserve">. Support estimates are listed in columns labeled </w:t>
      </w:r>
      <w:r>
        <w:rPr>
          <w:rFonts w:cs="Courier 10 Pitch" w:ascii="Courier 10 Pitch" w:hAnsi="Courier 10 Pitch"/>
          <w:sz w:val="22"/>
          <w:szCs w:val="22"/>
        </w:rPr>
        <w:t>&lt;sample_name&gt;_HHHsup</w:t>
      </w:r>
      <w:r>
        <w:rPr>
          <w:rFonts w:cs="Liberation Sans;Arial" w:ascii="Liberation Sans;Arial" w:hAnsi="Liberation Sans;Arial"/>
          <w:sz w:val="22"/>
          <w:szCs w:val="22"/>
        </w:rPr>
        <w:t>. See the general information above regarding the naming of F0 and F1 individuals.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>File S6 Linkage map file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A list of the 4755 mapped loci, sorted by linkage group (LG) and map position. Segregation distortion was estimated separately for families 6 and 7: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chisqr_fam#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’ = 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χ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  <w:vertAlign w:val="superscript"/>
        </w:rPr>
        <w:t>2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estimate,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df_fam#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’ = degrees of freedom associated with 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χ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  <w:vertAlign w:val="superscript"/>
        </w:rPr>
        <w:t>2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.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fdr_fam#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’ = FDR test significant (TRUE/FALSE). The critical value for the Bonferroni test (at experiment-wise 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α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= 0.05, corrected for multiple comparisons, see publication) is 12.35. For the following three fields 0 = FALSE and 1 = TRUE: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rescored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’ = locus was rescored based on manually selected variants;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js_add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’ = locus was added to the map via the Lep-MAP3 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JoinSingles2All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module, with reduced stringency;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synt_stray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’ = stray alignment in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X. tropicalis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synteny analysis. Annotations (0 if none exists):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ncbi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>’ = NCBI accessions (comma separated) with BLAST+ match in the CLC contig (BLAST+ data in FileS7). ‘</w:t>
      </w:r>
      <w:r>
        <w:rPr>
          <w:rFonts w:cs="Courier 10 Pitch" w:ascii="Courier 10 Pitch" w:hAnsi="Courier 10 Pitch"/>
          <w:b w:val="false"/>
          <w:bCs w:val="false"/>
          <w:sz w:val="22"/>
          <w:szCs w:val="22"/>
        </w:rPr>
        <w:t>ips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’ = A comma-separated list of </w:t>
      </w:r>
      <w:r>
        <w:rPr>
          <w:rFonts w:cs="Liberation Sans;Arial" w:ascii="Liberation Sans;Arial" w:hAnsi="Liberation Sans;Arial"/>
          <w:b w:val="false"/>
          <w:bCs w:val="false"/>
          <w:i/>
          <w:iCs/>
          <w:sz w:val="22"/>
          <w:szCs w:val="22"/>
        </w:rPr>
        <w:t>B. v. variegata</w:t>
      </w: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  <w:t xml:space="preserve"> transcripts that were used to scaffold the CLC contig associated with this locus and that also have InterProScan annotation (annotations in File S8).</w:t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>File S7 NCBI Blast+ records</w:t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sz w:val="22"/>
          <w:szCs w:val="22"/>
        </w:rPr>
        <w:t xml:space="preserve">BLAST+ matches to CLC contigs in standard tabular format, with the following added fields: gene description (column 2), query length (column 14) and subject length (column 15). It includes matches to three microsatellite markers that were used in previous 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>Bombina</w:t>
      </w:r>
      <w:r>
        <w:rPr>
          <w:rFonts w:cs="Liberation Sans;Arial" w:ascii="Liberation Sans;Arial" w:hAnsi="Liberation Sans;Arial"/>
          <w:sz w:val="22"/>
          <w:szCs w:val="22"/>
        </w:rPr>
        <w:t xml:space="preserve"> hybrid zones analyses. Column ‘ncbi’ in File S6 links to these annotations.</w:t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>File S8 InterProScan records</w:t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sz w:val="22"/>
          <w:szCs w:val="22"/>
        </w:rPr>
        <w:t xml:space="preserve">The file provides </w:t>
      </w:r>
      <w:r>
        <w:rPr>
          <w:rFonts w:cs="Courier 10 Pitch" w:ascii="Courier 10 Pitch" w:hAnsi="Courier 10 Pitch"/>
          <w:sz w:val="22"/>
          <w:szCs w:val="22"/>
        </w:rPr>
        <w:t>Pfam</w:t>
      </w:r>
      <w:r>
        <w:rPr>
          <w:rFonts w:cs="Liberation Sans;Arial" w:ascii="Liberation Sans;Arial" w:hAnsi="Liberation Sans;Arial"/>
          <w:sz w:val="22"/>
          <w:szCs w:val="22"/>
        </w:rPr>
        <w:t xml:space="preserve"> annotations for 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 xml:space="preserve">B. v. variegata </w:t>
      </w:r>
      <w:r>
        <w:rPr>
          <w:rFonts w:cs="Liberation Sans;Arial" w:ascii="Liberation Sans;Arial" w:hAnsi="Liberation Sans;Arial"/>
          <w:sz w:val="22"/>
          <w:szCs w:val="22"/>
        </w:rPr>
        <w:t>transcripts that are represented in the linkage map. The file has standard InterProScan tabular format: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  <w:t>1. Protein accession, 2. Sequence MD5 digest, 3. Sequence length, 4. Analysis, 5. Signature accession, 6. Signature description, 7. Start location, 8. Stop location, 9. Score (e-value), 10. Status of match (T: true), 10. Date of run, 11. InterPro annotations - accession, 12. InterPro annotations – Description.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  <w:t>Column ‘ips’ in File S6 links to these annotations.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/>
          <w:bCs/>
          <w:sz w:val="28"/>
          <w:szCs w:val="28"/>
        </w:rPr>
        <w:t>File S10 REPdenovo assembly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sz w:val="22"/>
          <w:szCs w:val="22"/>
        </w:rPr>
        <w:t xml:space="preserve">The file in gzipped fasta format provides the assembly of </w:t>
      </w:r>
      <w:r>
        <w:rPr>
          <w:rFonts w:cs="Liberation Sans;Arial" w:ascii="Liberation Sans;Arial" w:hAnsi="Liberation Sans;Arial"/>
          <w:i/>
          <w:iCs/>
          <w:sz w:val="22"/>
          <w:szCs w:val="22"/>
        </w:rPr>
        <w:t>B. v. variegata</w:t>
      </w:r>
      <w:r>
        <w:rPr>
          <w:rFonts w:cs="Liberation Sans;Arial" w:ascii="Liberation Sans;Arial" w:hAnsi="Liberation Sans;Arial"/>
          <w:sz w:val="22"/>
          <w:szCs w:val="22"/>
        </w:rPr>
        <w:t xml:space="preserve"> genomic repeats based on k-mers whose frequency in WGS reads exceeds the average k-mer frequency by a factor of 100 or more. We supply the unmerged version of this assembly that was used as a mapping reference to generate repeat-subtracted read sets.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Liberation Sans;Arial" w:ascii="Liberation Sans;Arial" w:hAnsi="Liberation Sans;Arial"/>
          <w:b/>
          <w:bCs/>
          <w:sz w:val="28"/>
          <w:szCs w:val="28"/>
        </w:rPr>
        <w:t xml:space="preserve">File S11 </w:t>
      </w:r>
      <w:r>
        <w:rPr>
          <w:rFonts w:cs="Liberation Sans;Arial" w:ascii="Liberation Sans;Arial" w:hAnsi="Liberation Sans;Arial"/>
          <w:b/>
          <w:bCs/>
          <w:i/>
          <w:iCs/>
          <w:sz w:val="28"/>
          <w:szCs w:val="28"/>
        </w:rPr>
        <w:t>B. variegata</w:t>
      </w:r>
      <w:r>
        <w:rPr>
          <w:rFonts w:cs="Liberation Sans;Arial" w:ascii="Liberation Sans;Arial" w:hAnsi="Liberation Sans;Arial"/>
          <w:b/>
          <w:bCs/>
          <w:sz w:val="28"/>
          <w:szCs w:val="28"/>
        </w:rPr>
        <w:t xml:space="preserve"> mapping reference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  <w:t>The file in gzipped fasta format contains the mapping reference for the 5000 target loci. Repeat-subtracted reads from bait-enriched libraries were mapped to this reference.</w:t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lineRule="auto" w:line="276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swiss"/>
    <w:pitch w:val="variable"/>
  </w:font>
  <w:font w:name="Courier 10 Pitch">
    <w:charset w:val="01"/>
    <w:family w:val="auto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en-GB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ind w:left="0" w:right="0" w:hanging="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lfram.com/playe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793</TotalTime>
  <Application>LibreOffice/5.1.6.2$Linux_X86_64 LibreOffice_project/10m0$Build-2</Application>
  <Pages>2</Pages>
  <Words>746</Words>
  <Characters>4011</Characters>
  <CharactersWithSpaces>4731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2021-03-08T12:43:25Z</dcterms:created>
  <dc:creator/>
  <dc:description/>
  <dc:language>en-US</dc:language>
  <cp:lastModifiedBy/>
  <dcterms:modified xsi:type="dcterms:W3CDTF">2021-09-20T22:39:45Z</dcterms:modified>
  <cp:revision>16</cp:revision>
  <dc:subject/>
  <dc:title/>
</cp:coreProperties>
</file>