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1C113" w14:textId="10EAF741" w:rsidR="00414417" w:rsidRPr="00414417" w:rsidRDefault="00414417" w:rsidP="00455759">
      <w:pPr>
        <w:spacing w:after="0" w:line="480" w:lineRule="auto"/>
        <w:rPr>
          <w:rFonts w:ascii="Times New Roman" w:hAnsi="Times New Roman" w:cs="Times New Roman"/>
          <w:b/>
          <w:bCs/>
          <w:sz w:val="24"/>
          <w:szCs w:val="24"/>
        </w:rPr>
      </w:pPr>
      <w:r w:rsidRPr="00414417">
        <w:rPr>
          <w:rFonts w:ascii="Times New Roman" w:hAnsi="Times New Roman" w:cs="Times New Roman"/>
          <w:b/>
          <w:bCs/>
          <w:sz w:val="24"/>
          <w:szCs w:val="24"/>
        </w:rPr>
        <w:t xml:space="preserve">File S1 for Rounds </w:t>
      </w:r>
      <w:r w:rsidRPr="00414417">
        <w:rPr>
          <w:rFonts w:ascii="Times New Roman" w:hAnsi="Times New Roman" w:cs="Times New Roman"/>
          <w:b/>
          <w:bCs/>
          <w:i/>
          <w:iCs/>
          <w:sz w:val="24"/>
          <w:szCs w:val="24"/>
        </w:rPr>
        <w:t>et al.</w:t>
      </w:r>
      <w:r w:rsidRPr="00414417">
        <w:rPr>
          <w:rFonts w:ascii="Times New Roman" w:hAnsi="Times New Roman" w:cs="Times New Roman"/>
          <w:b/>
          <w:bCs/>
          <w:sz w:val="24"/>
          <w:szCs w:val="24"/>
        </w:rPr>
        <w:t xml:space="preserve">, 2021, </w:t>
      </w:r>
      <w:r w:rsidRPr="00414417">
        <w:rPr>
          <w:rFonts w:ascii="Times New Roman" w:hAnsi="Times New Roman" w:cs="Times New Roman"/>
          <w:b/>
          <w:bCs/>
          <w:i/>
          <w:iCs/>
          <w:sz w:val="24"/>
          <w:szCs w:val="24"/>
        </w:rPr>
        <w:t>Genetics</w:t>
      </w:r>
      <w:r w:rsidRPr="00414417">
        <w:rPr>
          <w:rFonts w:ascii="Times New Roman" w:hAnsi="Times New Roman" w:cs="Times New Roman"/>
          <w:b/>
          <w:bCs/>
          <w:sz w:val="24"/>
          <w:szCs w:val="24"/>
        </w:rPr>
        <w:t>.</w:t>
      </w:r>
    </w:p>
    <w:p w14:paraId="622C6A6A" w14:textId="77777777" w:rsidR="008511C8" w:rsidRDefault="008511C8" w:rsidP="00455759">
      <w:pPr>
        <w:spacing w:line="480" w:lineRule="auto"/>
        <w:rPr>
          <w:rFonts w:ascii="Times New Roman" w:hAnsi="Times New Roman" w:cs="Times New Roman"/>
          <w:b/>
          <w:bCs/>
          <w:sz w:val="24"/>
          <w:szCs w:val="24"/>
        </w:rPr>
      </w:pPr>
      <w:r w:rsidRPr="009F1F6B">
        <w:rPr>
          <w:rFonts w:ascii="Times New Roman" w:hAnsi="Times New Roman" w:cs="Times New Roman"/>
          <w:b/>
          <w:bCs/>
          <w:sz w:val="24"/>
          <w:szCs w:val="24"/>
        </w:rPr>
        <w:t>Supplementa</w:t>
      </w:r>
      <w:r>
        <w:rPr>
          <w:rFonts w:ascii="Times New Roman" w:hAnsi="Times New Roman" w:cs="Times New Roman"/>
          <w:b/>
          <w:bCs/>
          <w:sz w:val="24"/>
          <w:szCs w:val="24"/>
        </w:rPr>
        <w:t>l</w:t>
      </w:r>
      <w:r w:rsidRPr="009F1F6B">
        <w:rPr>
          <w:rFonts w:ascii="Times New Roman" w:hAnsi="Times New Roman" w:cs="Times New Roman"/>
          <w:b/>
          <w:bCs/>
          <w:sz w:val="24"/>
          <w:szCs w:val="24"/>
        </w:rPr>
        <w:t xml:space="preserve"> Materials and Methods</w:t>
      </w:r>
    </w:p>
    <w:p w14:paraId="5CFB3C8C" w14:textId="77777777" w:rsidR="008511C8" w:rsidRPr="00694AFA" w:rsidRDefault="008511C8" w:rsidP="00455759">
      <w:pPr>
        <w:spacing w:after="0" w:line="480" w:lineRule="auto"/>
        <w:jc w:val="both"/>
        <w:rPr>
          <w:rFonts w:ascii="Times New Roman" w:hAnsi="Times New Roman" w:cs="Times New Roman"/>
          <w:b/>
          <w:bCs/>
          <w:sz w:val="24"/>
          <w:szCs w:val="24"/>
        </w:rPr>
      </w:pPr>
      <w:r w:rsidRPr="00694AFA">
        <w:rPr>
          <w:rFonts w:ascii="Times New Roman" w:hAnsi="Times New Roman" w:cs="Times New Roman"/>
          <w:b/>
          <w:bCs/>
          <w:sz w:val="24"/>
          <w:szCs w:val="24"/>
        </w:rPr>
        <w:t xml:space="preserve">Bulk </w:t>
      </w:r>
      <w:r w:rsidRPr="00694AFA">
        <w:rPr>
          <w:rFonts w:ascii="Times New Roman" w:hAnsi="Times New Roman" w:cs="Times New Roman"/>
          <w:b/>
          <w:bCs/>
          <w:i/>
          <w:iCs/>
          <w:sz w:val="24"/>
          <w:szCs w:val="24"/>
        </w:rPr>
        <w:t>Drosophila</w:t>
      </w:r>
      <w:r w:rsidRPr="00694AFA">
        <w:rPr>
          <w:rFonts w:ascii="Times New Roman" w:hAnsi="Times New Roman" w:cs="Times New Roman"/>
          <w:b/>
          <w:bCs/>
          <w:sz w:val="24"/>
          <w:szCs w:val="24"/>
        </w:rPr>
        <w:t xml:space="preserve"> Head Isolation</w:t>
      </w:r>
    </w:p>
    <w:p w14:paraId="2D4EB11C" w14:textId="77777777" w:rsidR="008511C8" w:rsidRDefault="008511C8" w:rsidP="00455759">
      <w:pPr>
        <w:spacing w:after="0" w:line="480" w:lineRule="auto"/>
        <w:jc w:val="both"/>
        <w:rPr>
          <w:rFonts w:ascii="Times New Roman" w:hAnsi="Times New Roman" w:cs="Times New Roman"/>
          <w:sz w:val="24"/>
          <w:szCs w:val="24"/>
        </w:rPr>
      </w:pPr>
      <w:r w:rsidRPr="00694AFA">
        <w:rPr>
          <w:rFonts w:ascii="Times New Roman" w:hAnsi="Times New Roman" w:cs="Times New Roman"/>
          <w:sz w:val="24"/>
          <w:szCs w:val="24"/>
        </w:rPr>
        <w:t xml:space="preserve">Thousands of isolated </w:t>
      </w:r>
      <w:r w:rsidRPr="00694AFA">
        <w:rPr>
          <w:rFonts w:ascii="Times New Roman" w:hAnsi="Times New Roman" w:cs="Times New Roman"/>
          <w:i/>
          <w:iCs/>
          <w:sz w:val="24"/>
          <w:szCs w:val="24"/>
        </w:rPr>
        <w:t xml:space="preserve">Drosophila </w:t>
      </w:r>
      <w:r w:rsidRPr="00694AFA">
        <w:rPr>
          <w:rFonts w:ascii="Times New Roman" w:hAnsi="Times New Roman" w:cs="Times New Roman"/>
          <w:sz w:val="24"/>
          <w:szCs w:val="24"/>
        </w:rPr>
        <w:t xml:space="preserve">heads were required to complete the immunoprecipitation experiments detailed in this study. To ensure feasibility, reproducibility, and efficiency, heads were isolated essentially as described in </w:t>
      </w:r>
      <w:r w:rsidRPr="00694AFA">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10.3791/50968","author":[{"dropping-particle":"","family":"Tian","given":"Xiaolin","non-dropping-particle":"","parse-names":false,"suffix":""},{"dropping-particle":"","family":"Zhu","given":"Mingwei","non-dropping-particle":"","parse-names":false,"suffix":""},{"dropping-particle":"","family":"Li","given":"Long","non-dropping-particle":"","parse-names":false,"suffix":""},{"dropping-particle":"","family":"Wu","given":"Chunlai","non-dropping-particle":"","parse-names":false,"suffix":""}],"container-title":"Journal of Visualized Experiments","id":"ITEM-1","issue":"82","issued":{"date-parts":[["2013","12","5"]]},"page":"e50968-e50968","title":"Identifying Protein-protein Interaction in Drosophila Adult Heads by Tandem Affinity Purification (TAP)","type":"article-journal"},"uris":["http://www.mendeley.com/documents/?uuid=7b920531-c9c5-324e-9ea3-f14adaf0d83c"]},{"id":"ITEM-2","itemData":{"URL":"https://www.youtube.com/watch?v=JxFyTqfqvDw","accessed":{"date-parts":[["2017","11","15"]]},"author":[{"dropping-particle":"","family":"Chow","given":"Eileen","non-dropping-particle":"","parse-names":false,"suffix":""}],"id":"ITEM-2","issued":{"date-parts":[["2015"]]},"title":"How to separate Drosophila heads &amp; bodies in bulk - YouTube","type":"webpage"},"uris":["http://www.mendeley.com/documents/?uuid=7309dcf9-1e86-3c7f-8f87-0d46750dfe8a"]}],"mendeley":{"formattedCitation":"(Tian &lt;i&gt;et al.&lt;/i&gt; 2013; Chow 2015)","plainTextFormattedCitation":"(Tian et al. 2013; Chow 2015)","previouslyFormattedCitation":"(Tian &lt;i&gt;et al.&lt;/i&gt; 2013; Chow 2015)"},"properties":{"noteIndex":0},"schema":"https://github.com/citation-style-language/schema/raw/master/csl-citation.json"}</w:instrText>
      </w:r>
      <w:r w:rsidRPr="00694AFA">
        <w:rPr>
          <w:rFonts w:ascii="Times New Roman" w:hAnsi="Times New Roman" w:cs="Times New Roman"/>
          <w:sz w:val="24"/>
          <w:szCs w:val="24"/>
        </w:rPr>
        <w:fldChar w:fldCharType="separate"/>
      </w:r>
      <w:r w:rsidRPr="000C6B7A">
        <w:rPr>
          <w:rFonts w:ascii="Times New Roman" w:hAnsi="Times New Roman" w:cs="Times New Roman"/>
          <w:noProof/>
          <w:sz w:val="24"/>
          <w:szCs w:val="24"/>
        </w:rPr>
        <w:t xml:space="preserve">(Tian </w:t>
      </w:r>
      <w:r w:rsidRPr="000C6B7A">
        <w:rPr>
          <w:rFonts w:ascii="Times New Roman" w:hAnsi="Times New Roman" w:cs="Times New Roman"/>
          <w:i/>
          <w:noProof/>
          <w:sz w:val="24"/>
          <w:szCs w:val="24"/>
        </w:rPr>
        <w:t>et al.</w:t>
      </w:r>
      <w:r w:rsidRPr="000C6B7A">
        <w:rPr>
          <w:rFonts w:ascii="Times New Roman" w:hAnsi="Times New Roman" w:cs="Times New Roman"/>
          <w:noProof/>
          <w:sz w:val="24"/>
          <w:szCs w:val="24"/>
        </w:rPr>
        <w:t xml:space="preserve"> 2013; Chow 2015)</w:t>
      </w:r>
      <w:r w:rsidRPr="00694AFA">
        <w:rPr>
          <w:rFonts w:ascii="Times New Roman" w:hAnsi="Times New Roman" w:cs="Times New Roman"/>
          <w:sz w:val="24"/>
          <w:szCs w:val="24"/>
        </w:rPr>
        <w:fldChar w:fldCharType="end"/>
      </w:r>
      <w:r w:rsidRPr="00694AFA">
        <w:rPr>
          <w:rFonts w:ascii="Times New Roman" w:hAnsi="Times New Roman" w:cs="Times New Roman"/>
          <w:sz w:val="24"/>
          <w:szCs w:val="24"/>
        </w:rPr>
        <w:t>. Briefly, whole adult</w:t>
      </w:r>
      <w:r>
        <w:rPr>
          <w:rFonts w:ascii="Times New Roman" w:hAnsi="Times New Roman" w:cs="Times New Roman"/>
          <w:sz w:val="24"/>
          <w:szCs w:val="24"/>
        </w:rPr>
        <w:t>s</w:t>
      </w:r>
      <w:r w:rsidRPr="00694AFA">
        <w:rPr>
          <w:rFonts w:ascii="Times New Roman" w:hAnsi="Times New Roman" w:cs="Times New Roman"/>
          <w:sz w:val="24"/>
          <w:szCs w:val="24"/>
        </w:rPr>
        <w:t xml:space="preserve"> were </w:t>
      </w:r>
      <w:r>
        <w:rPr>
          <w:rFonts w:ascii="Times New Roman" w:hAnsi="Times New Roman" w:cs="Times New Roman"/>
          <w:sz w:val="24"/>
          <w:szCs w:val="24"/>
        </w:rPr>
        <w:t>transferred</w:t>
      </w:r>
      <w:r w:rsidRPr="00694AFA">
        <w:rPr>
          <w:rFonts w:ascii="Times New Roman" w:hAnsi="Times New Roman" w:cs="Times New Roman"/>
          <w:sz w:val="24"/>
          <w:szCs w:val="24"/>
        </w:rPr>
        <w:t xml:space="preserve"> from </w:t>
      </w:r>
      <w:r>
        <w:rPr>
          <w:rFonts w:ascii="Times New Roman" w:hAnsi="Times New Roman" w:cs="Times New Roman"/>
          <w:sz w:val="24"/>
          <w:szCs w:val="24"/>
        </w:rPr>
        <w:t>−</w:t>
      </w:r>
      <w:r w:rsidRPr="00694AFA">
        <w:rPr>
          <w:rFonts w:ascii="Times New Roman" w:hAnsi="Times New Roman" w:cs="Times New Roman"/>
          <w:sz w:val="24"/>
          <w:szCs w:val="24"/>
        </w:rPr>
        <w:t>80°C storage</w:t>
      </w:r>
      <w:r>
        <w:rPr>
          <w:rFonts w:ascii="Times New Roman" w:hAnsi="Times New Roman" w:cs="Times New Roman"/>
          <w:sz w:val="24"/>
          <w:szCs w:val="24"/>
        </w:rPr>
        <w:t xml:space="preserve"> to a </w:t>
      </w:r>
      <w:r w:rsidRPr="00694AFA">
        <w:rPr>
          <w:rFonts w:ascii="Times New Roman" w:hAnsi="Times New Roman" w:cs="Times New Roman"/>
          <w:sz w:val="24"/>
          <w:szCs w:val="24"/>
        </w:rPr>
        <w:t>15 m</w:t>
      </w:r>
      <w:r>
        <w:rPr>
          <w:rFonts w:ascii="Times New Roman" w:hAnsi="Times New Roman" w:cs="Times New Roman"/>
          <w:sz w:val="24"/>
          <w:szCs w:val="24"/>
        </w:rPr>
        <w:t>l</w:t>
      </w:r>
      <w:r w:rsidRPr="00694AFA">
        <w:rPr>
          <w:rFonts w:ascii="Times New Roman" w:hAnsi="Times New Roman" w:cs="Times New Roman"/>
          <w:sz w:val="24"/>
          <w:szCs w:val="24"/>
        </w:rPr>
        <w:t xml:space="preserve"> </w:t>
      </w:r>
      <w:r w:rsidRPr="00EE0A6A">
        <w:rPr>
          <w:rFonts w:ascii="Times New Roman" w:hAnsi="Times New Roman" w:cs="Times New Roman"/>
          <w:sz w:val="24"/>
          <w:szCs w:val="24"/>
        </w:rPr>
        <w:t>conical tube and submerged in liquid nitrogen. Using a vortex mixer (02215365, Fisher Scientific)</w:t>
      </w:r>
      <w:r w:rsidRPr="00863E72">
        <w:rPr>
          <w:rFonts w:ascii="Times New Roman" w:hAnsi="Times New Roman" w:cs="Times New Roman"/>
          <w:sz w:val="24"/>
          <w:szCs w:val="24"/>
        </w:rPr>
        <w:t xml:space="preserve">, </w:t>
      </w:r>
      <w:r w:rsidRPr="00EE0A6A">
        <w:rPr>
          <w:rFonts w:ascii="Times New Roman" w:hAnsi="Times New Roman" w:cs="Times New Roman"/>
          <w:sz w:val="24"/>
          <w:szCs w:val="24"/>
        </w:rPr>
        <w:t xml:space="preserve">tubes were vortexed </w:t>
      </w:r>
      <w:r w:rsidRPr="008D4829">
        <w:rPr>
          <w:rFonts w:ascii="Times New Roman" w:hAnsi="Times New Roman" w:cs="Times New Roman"/>
          <w:sz w:val="24"/>
          <w:szCs w:val="24"/>
        </w:rPr>
        <w:t>(</w:t>
      </w:r>
      <w:r>
        <w:rPr>
          <w:rFonts w:ascii="Times New Roman" w:hAnsi="Times New Roman" w:cs="Times New Roman"/>
          <w:sz w:val="24"/>
          <w:szCs w:val="24"/>
        </w:rPr>
        <w:t>s</w:t>
      </w:r>
      <w:r w:rsidRPr="008D4829">
        <w:rPr>
          <w:rFonts w:ascii="Times New Roman" w:hAnsi="Times New Roman" w:cs="Times New Roman"/>
          <w:sz w:val="24"/>
          <w:szCs w:val="24"/>
        </w:rPr>
        <w:t xml:space="preserve">peed 10, </w:t>
      </w:r>
      <w:r>
        <w:rPr>
          <w:rFonts w:ascii="Times New Roman" w:hAnsi="Times New Roman" w:cs="Times New Roman"/>
          <w:sz w:val="24"/>
          <w:szCs w:val="24"/>
        </w:rPr>
        <w:t>contact</w:t>
      </w:r>
      <w:r w:rsidRPr="008D4829">
        <w:rPr>
          <w:rFonts w:ascii="Times New Roman" w:hAnsi="Times New Roman" w:cs="Times New Roman"/>
          <w:sz w:val="24"/>
          <w:szCs w:val="24"/>
        </w:rPr>
        <w:t xml:space="preserve">-activated) </w:t>
      </w:r>
      <w:r w:rsidRPr="00EE0A6A">
        <w:rPr>
          <w:rFonts w:ascii="Times New Roman" w:hAnsi="Times New Roman" w:cs="Times New Roman"/>
          <w:sz w:val="24"/>
          <w:szCs w:val="24"/>
        </w:rPr>
        <w:t>for six 3-second intervals,</w:t>
      </w:r>
      <w:r w:rsidRPr="00694AFA">
        <w:rPr>
          <w:rFonts w:ascii="Times New Roman" w:hAnsi="Times New Roman" w:cs="Times New Roman"/>
          <w:sz w:val="24"/>
          <w:szCs w:val="24"/>
        </w:rPr>
        <w:t xml:space="preserve"> returning to liquid nitrogen between each. Resulting slurries were separated by a stack of stainless-steel sieves on dry ice. In this stack, a 710 µm U.S.A. standard No. 25 test sieve rested atop a 425 µm U.S.A. standard No. 40 test sieve (EW-59987-12 and EW-59987-16</w:t>
      </w:r>
      <w:r>
        <w:rPr>
          <w:rFonts w:ascii="Times New Roman" w:hAnsi="Times New Roman" w:cs="Times New Roman"/>
          <w:sz w:val="24"/>
          <w:szCs w:val="24"/>
        </w:rPr>
        <w:t xml:space="preserve">, </w:t>
      </w:r>
      <w:r w:rsidRPr="00694AFA">
        <w:rPr>
          <w:rFonts w:ascii="Times New Roman" w:hAnsi="Times New Roman" w:cs="Times New Roman"/>
          <w:sz w:val="24"/>
          <w:szCs w:val="24"/>
        </w:rPr>
        <w:t xml:space="preserve">Cole-Parmer). After brief, vigorous shaking on dry ice, only </w:t>
      </w:r>
      <w:r w:rsidRPr="00694AFA">
        <w:rPr>
          <w:rFonts w:ascii="Times New Roman" w:hAnsi="Times New Roman" w:cs="Times New Roman"/>
          <w:i/>
          <w:iCs/>
          <w:sz w:val="24"/>
          <w:szCs w:val="24"/>
        </w:rPr>
        <w:t>Drosophila</w:t>
      </w:r>
      <w:r w:rsidRPr="00694AFA">
        <w:rPr>
          <w:rFonts w:ascii="Times New Roman" w:hAnsi="Times New Roman" w:cs="Times New Roman"/>
          <w:sz w:val="24"/>
          <w:szCs w:val="24"/>
        </w:rPr>
        <w:t xml:space="preserve"> heads remained on the smaller sieve, enabling exact counting and isolation on dry ice. Heads were returned to </w:t>
      </w:r>
      <w:r>
        <w:rPr>
          <w:rFonts w:ascii="Times New Roman" w:hAnsi="Times New Roman" w:cs="Times New Roman"/>
          <w:sz w:val="24"/>
          <w:szCs w:val="24"/>
        </w:rPr>
        <w:t>−</w:t>
      </w:r>
      <w:r w:rsidRPr="00694AFA">
        <w:rPr>
          <w:rFonts w:ascii="Times New Roman" w:hAnsi="Times New Roman" w:cs="Times New Roman"/>
          <w:sz w:val="24"/>
          <w:szCs w:val="24"/>
        </w:rPr>
        <w:t>80°C storage until further use.</w:t>
      </w:r>
    </w:p>
    <w:p w14:paraId="3EED4861" w14:textId="77777777" w:rsidR="008511C8" w:rsidRPr="00694AFA" w:rsidRDefault="008511C8" w:rsidP="00455759">
      <w:pPr>
        <w:spacing w:after="0" w:line="480" w:lineRule="auto"/>
        <w:jc w:val="both"/>
        <w:rPr>
          <w:rFonts w:ascii="Times New Roman" w:hAnsi="Times New Roman" w:cs="Times New Roman"/>
          <w:b/>
          <w:bCs/>
          <w:sz w:val="24"/>
          <w:szCs w:val="24"/>
        </w:rPr>
      </w:pPr>
      <w:r w:rsidRPr="00694AFA">
        <w:rPr>
          <w:rFonts w:ascii="Times New Roman" w:hAnsi="Times New Roman" w:cs="Times New Roman"/>
          <w:b/>
          <w:bCs/>
          <w:sz w:val="24"/>
          <w:szCs w:val="24"/>
        </w:rPr>
        <w:t>Immunoblotting</w:t>
      </w:r>
    </w:p>
    <w:p w14:paraId="2FFE7679" w14:textId="77777777" w:rsidR="008511C8" w:rsidRPr="00182AD4" w:rsidRDefault="008511C8" w:rsidP="00455759">
      <w:pPr>
        <w:spacing w:after="0" w:line="480" w:lineRule="auto"/>
        <w:jc w:val="both"/>
        <w:rPr>
          <w:rFonts w:ascii="Times New Roman" w:hAnsi="Times New Roman" w:cs="Times New Roman"/>
          <w:sz w:val="24"/>
          <w:szCs w:val="24"/>
        </w:rPr>
      </w:pPr>
      <w:r w:rsidRPr="00694AFA">
        <w:rPr>
          <w:rFonts w:ascii="Times New Roman" w:hAnsi="Times New Roman" w:cs="Times New Roman"/>
          <w:sz w:val="24"/>
          <w:szCs w:val="24"/>
        </w:rPr>
        <w:t xml:space="preserve">Samples previously diluted in modified 2X </w:t>
      </w:r>
      <w:proofErr w:type="spellStart"/>
      <w:r w:rsidRPr="00694AFA">
        <w:rPr>
          <w:rFonts w:ascii="Times New Roman" w:hAnsi="Times New Roman" w:cs="Times New Roman"/>
          <w:sz w:val="24"/>
          <w:szCs w:val="24"/>
        </w:rPr>
        <w:t>Laemmli</w:t>
      </w:r>
      <w:proofErr w:type="spellEnd"/>
      <w:r w:rsidRPr="00694AFA">
        <w:rPr>
          <w:rFonts w:ascii="Times New Roman" w:hAnsi="Times New Roman" w:cs="Times New Roman"/>
          <w:sz w:val="24"/>
          <w:szCs w:val="24"/>
        </w:rPr>
        <w:t xml:space="preserve"> sample buffer (0.125 M Tris-HCl, 4% SDS, 20% glycerol, 0.2 M dithiothreitol (DTT), 0.02% bromophenol blue; final pH of 6.8) </w:t>
      </w:r>
      <w:r w:rsidRPr="00694AFA">
        <w:rPr>
          <w:rFonts w:ascii="Times New Roman" w:hAnsi="Times New Roman" w:cs="Times New Roman"/>
          <w:sz w:val="24"/>
          <w:szCs w:val="24"/>
        </w:rPr>
        <w:fldChar w:fldCharType="begin" w:fldLock="1"/>
      </w:r>
      <w:r w:rsidRPr="00694AFA">
        <w:rPr>
          <w:rFonts w:ascii="Times New Roman" w:hAnsi="Times New Roman" w:cs="Times New Roman"/>
          <w:sz w:val="24"/>
          <w:szCs w:val="24"/>
        </w:rPr>
        <w:instrText>ADDIN CSL_CITATION {"citationItems":[{"id":"ITEM-1","itemData":{"DOI":"10.1038/227680a0","ISSN":"00280836","PMID":"5432063","abstract":"Using an improved method of gel electrophoresis, many hitherto unknown proteins have been found in bacteriophage T4 and some of these have been identified with specific gene products. Four major components of the head are cleaved during the process of assembly, apparently after the precursor proteins have assembled into some large intermediate structure. © 1970 Nature Publishing Group.","author":[{"dropping-particle":"","family":"Laemmli","given":"U. K.","non-dropping-particle":"","parse-names":false,"suffix":""}],"container-title":"Nature","id":"ITEM-1","issue":"5259","issued":{"date-parts":[["1970"]]},"note":"What is the recipe for traditional Laemmli Buffer?Product FAQ\nAnswer\nThe Laemmli buffer or 2X SDS Buffer is composed of the following: 100 mM Tris HCl , pH 6.8, 200 mM dithiothreitol, 4% SDS, 0.2% bromophenol blue, 20% glycerol. 2X SDS gel loading buffer lacking dithiothreitol can be stored at room temperature. Dithiothreitol should then be added, just before use.\nAnswer Id:: E3593","page":"680-685","publisher":"Nature Publishing Group","title":"Cleavage of structural proteins during the assembly of the head of bacteriophage T4","type":"article-journal","volume":"227"},"uris":["http://www.mendeley.com/documents/?uuid=ad272eb1-1225-3209-8720-0ad1615e4ae7"]}],"mendeley":{"formattedCitation":"(Laemmli 1970)","plainTextFormattedCitation":"(Laemmli 1970)","previouslyFormattedCitation":"(Laemmli 1970)"},"properties":{"noteIndex":0},"schema":"https://github.com/citation-style-language/schema/raw/master/csl-citation.json"}</w:instrText>
      </w:r>
      <w:r w:rsidRPr="00694AFA">
        <w:rPr>
          <w:rFonts w:ascii="Times New Roman" w:hAnsi="Times New Roman" w:cs="Times New Roman"/>
          <w:sz w:val="24"/>
          <w:szCs w:val="24"/>
        </w:rPr>
        <w:fldChar w:fldCharType="separate"/>
      </w:r>
      <w:r w:rsidRPr="00694AFA">
        <w:rPr>
          <w:rFonts w:ascii="Times New Roman" w:hAnsi="Times New Roman" w:cs="Times New Roman"/>
          <w:noProof/>
          <w:sz w:val="24"/>
          <w:szCs w:val="24"/>
        </w:rPr>
        <w:t>(Laemmli 1970)</w:t>
      </w:r>
      <w:r w:rsidRPr="00694AFA">
        <w:rPr>
          <w:rFonts w:ascii="Times New Roman" w:hAnsi="Times New Roman" w:cs="Times New Roman"/>
          <w:sz w:val="24"/>
          <w:szCs w:val="24"/>
        </w:rPr>
        <w:fldChar w:fldCharType="end"/>
      </w:r>
      <w:r w:rsidRPr="00694AFA">
        <w:rPr>
          <w:rFonts w:ascii="Times New Roman" w:hAnsi="Times New Roman" w:cs="Times New Roman"/>
          <w:sz w:val="24"/>
          <w:szCs w:val="24"/>
        </w:rPr>
        <w:t xml:space="preserve"> were again centrifuged at 16,100</w:t>
      </w:r>
      <w:r>
        <w:rPr>
          <w:rFonts w:ascii="Times New Roman" w:hAnsi="Times New Roman" w:cs="Times New Roman"/>
          <w:sz w:val="24"/>
          <w:szCs w:val="24"/>
        </w:rPr>
        <w:t>×g</w:t>
      </w:r>
      <w:r w:rsidRPr="00694AFA">
        <w:rPr>
          <w:rFonts w:ascii="Times New Roman" w:hAnsi="Times New Roman" w:cs="Times New Roman"/>
          <w:sz w:val="24"/>
          <w:szCs w:val="24"/>
        </w:rPr>
        <w:t xml:space="preserve"> for 5 minutes at room temperature to clear insoluble material, magnetized as appropriate, and collected as supernatants. If </w:t>
      </w:r>
      <w:r>
        <w:rPr>
          <w:rFonts w:ascii="Times New Roman" w:hAnsi="Times New Roman" w:cs="Times New Roman"/>
          <w:sz w:val="24"/>
          <w:szCs w:val="24"/>
        </w:rPr>
        <w:t>the color of any</w:t>
      </w:r>
      <w:r w:rsidRPr="00694AFA">
        <w:rPr>
          <w:rFonts w:ascii="Times New Roman" w:hAnsi="Times New Roman" w:cs="Times New Roman"/>
          <w:sz w:val="24"/>
          <w:szCs w:val="24"/>
        </w:rPr>
        <w:t xml:space="preserve"> </w:t>
      </w:r>
      <w:r>
        <w:rPr>
          <w:rFonts w:ascii="Times New Roman" w:hAnsi="Times New Roman" w:cs="Times New Roman"/>
          <w:sz w:val="24"/>
          <w:szCs w:val="24"/>
        </w:rPr>
        <w:t>I</w:t>
      </w:r>
      <w:r w:rsidRPr="00694AFA">
        <w:rPr>
          <w:rFonts w:ascii="Times New Roman" w:hAnsi="Times New Roman" w:cs="Times New Roman"/>
          <w:sz w:val="24"/>
          <w:szCs w:val="24"/>
        </w:rPr>
        <w:t>nput sample solutions</w:t>
      </w:r>
      <w:r>
        <w:rPr>
          <w:rFonts w:ascii="Times New Roman" w:hAnsi="Times New Roman" w:cs="Times New Roman"/>
          <w:sz w:val="24"/>
          <w:szCs w:val="24"/>
        </w:rPr>
        <w:t xml:space="preserve"> yellowed, indicating acidification by leftover acetone, </w:t>
      </w:r>
      <w:r w:rsidRPr="00694AFA">
        <w:rPr>
          <w:rFonts w:ascii="Times New Roman" w:hAnsi="Times New Roman" w:cs="Times New Roman"/>
          <w:sz w:val="24"/>
          <w:szCs w:val="24"/>
        </w:rPr>
        <w:t>all input samples were neutralized by an equal volume of 1 M Tris, pH 8.0.  Samples were resolved on a 7.5% precast</w:t>
      </w:r>
      <w:r>
        <w:rPr>
          <w:rFonts w:ascii="Times New Roman" w:hAnsi="Times New Roman" w:cs="Times New Roman"/>
          <w:sz w:val="24"/>
          <w:szCs w:val="24"/>
        </w:rPr>
        <w:t>, “stain-free”</w:t>
      </w:r>
      <w:r w:rsidRPr="00694AFA">
        <w:rPr>
          <w:rFonts w:ascii="Times New Roman" w:hAnsi="Times New Roman" w:cs="Times New Roman"/>
          <w:sz w:val="24"/>
          <w:szCs w:val="24"/>
        </w:rPr>
        <w:t xml:space="preserve"> polyacrylamide gel supplemented with UV-reactive </w:t>
      </w:r>
      <w:proofErr w:type="spellStart"/>
      <w:r w:rsidRPr="00694AFA">
        <w:rPr>
          <w:rFonts w:ascii="Times New Roman" w:hAnsi="Times New Roman" w:cs="Times New Roman"/>
          <w:sz w:val="24"/>
          <w:szCs w:val="24"/>
        </w:rPr>
        <w:t>trihalo</w:t>
      </w:r>
      <w:proofErr w:type="spellEnd"/>
      <w:r w:rsidRPr="00694AFA">
        <w:rPr>
          <w:rFonts w:ascii="Times New Roman" w:hAnsi="Times New Roman" w:cs="Times New Roman"/>
          <w:sz w:val="24"/>
          <w:szCs w:val="24"/>
        </w:rPr>
        <w:t xml:space="preserve"> compounds (456-8023</w:t>
      </w:r>
      <w:r>
        <w:rPr>
          <w:rFonts w:ascii="Times New Roman" w:hAnsi="Times New Roman" w:cs="Times New Roman"/>
          <w:sz w:val="24"/>
          <w:szCs w:val="24"/>
        </w:rPr>
        <w:t xml:space="preserve">, </w:t>
      </w:r>
      <w:r w:rsidRPr="00694AFA">
        <w:rPr>
          <w:rFonts w:ascii="Times New Roman" w:hAnsi="Times New Roman" w:cs="Times New Roman"/>
          <w:sz w:val="24"/>
          <w:szCs w:val="24"/>
        </w:rPr>
        <w:t xml:space="preserve">Bio-Rad). </w:t>
      </w:r>
      <w:r>
        <w:rPr>
          <w:rFonts w:ascii="Times New Roman" w:hAnsi="Times New Roman" w:cs="Times New Roman"/>
          <w:sz w:val="24"/>
          <w:szCs w:val="24"/>
        </w:rPr>
        <w:t>Then, t</w:t>
      </w:r>
      <w:r w:rsidRPr="00694AFA">
        <w:rPr>
          <w:rFonts w:ascii="Times New Roman" w:hAnsi="Times New Roman" w:cs="Times New Roman"/>
          <w:sz w:val="24"/>
          <w:szCs w:val="24"/>
        </w:rPr>
        <w:t xml:space="preserve">hese </w:t>
      </w:r>
      <w:proofErr w:type="spellStart"/>
      <w:r w:rsidRPr="00694AFA">
        <w:rPr>
          <w:rFonts w:ascii="Times New Roman" w:hAnsi="Times New Roman" w:cs="Times New Roman"/>
          <w:sz w:val="24"/>
          <w:szCs w:val="24"/>
        </w:rPr>
        <w:t>trihalo</w:t>
      </w:r>
      <w:proofErr w:type="spellEnd"/>
      <w:r w:rsidRPr="00694AFA">
        <w:rPr>
          <w:rFonts w:ascii="Times New Roman" w:hAnsi="Times New Roman" w:cs="Times New Roman"/>
          <w:sz w:val="24"/>
          <w:szCs w:val="24"/>
        </w:rPr>
        <w:t xml:space="preserve"> compounds were activated by 45-second UV exposure, covalently adding small, persistent fluorophores to sample </w:t>
      </w:r>
      <w:proofErr w:type="gramStart"/>
      <w:r w:rsidRPr="00694AFA">
        <w:rPr>
          <w:rFonts w:ascii="Times New Roman" w:hAnsi="Times New Roman" w:cs="Times New Roman"/>
          <w:sz w:val="24"/>
          <w:szCs w:val="24"/>
        </w:rPr>
        <w:t>proteins</w:t>
      </w:r>
      <w:proofErr w:type="gramEnd"/>
      <w:r w:rsidRPr="00694AFA">
        <w:rPr>
          <w:rFonts w:ascii="Times New Roman" w:hAnsi="Times New Roman" w:cs="Times New Roman"/>
          <w:sz w:val="24"/>
          <w:szCs w:val="24"/>
        </w:rPr>
        <w:t xml:space="preserve"> and allowing total protein visualization in all subsequent steps. Next, samples were transferred to a </w:t>
      </w:r>
      <w:r w:rsidRPr="00694AFA">
        <w:rPr>
          <w:rFonts w:ascii="Times New Roman" w:hAnsi="Times New Roman" w:cs="Times New Roman"/>
          <w:sz w:val="24"/>
          <w:szCs w:val="24"/>
        </w:rPr>
        <w:lastRenderedPageBreak/>
        <w:t>polyvinylidene difluoride (PVDF) membrane (0.2 µm</w:t>
      </w:r>
      <w:r>
        <w:rPr>
          <w:rFonts w:ascii="Times New Roman" w:hAnsi="Times New Roman" w:cs="Times New Roman"/>
          <w:sz w:val="24"/>
          <w:szCs w:val="24"/>
        </w:rPr>
        <w:t xml:space="preserve">; </w:t>
      </w:r>
      <w:r w:rsidRPr="00694AFA">
        <w:rPr>
          <w:rFonts w:ascii="Times New Roman" w:hAnsi="Times New Roman" w:cs="Times New Roman"/>
          <w:sz w:val="24"/>
          <w:szCs w:val="24"/>
        </w:rPr>
        <w:t>162-0177</w:t>
      </w:r>
      <w:r>
        <w:rPr>
          <w:rFonts w:ascii="Times New Roman" w:hAnsi="Times New Roman" w:cs="Times New Roman"/>
          <w:sz w:val="24"/>
          <w:szCs w:val="24"/>
        </w:rPr>
        <w:t>,</w:t>
      </w:r>
      <w:r w:rsidRPr="00694AFA">
        <w:rPr>
          <w:rFonts w:ascii="Times New Roman" w:hAnsi="Times New Roman" w:cs="Times New Roman"/>
          <w:sz w:val="24"/>
          <w:szCs w:val="24"/>
        </w:rPr>
        <w:t xml:space="preserve"> Bio-Rad) and blocked at room temperature in 4% non-fat milk in TBS-T (0.1% Tween). Membranes were sequentially incubated in primary antibodies, secondary antibodies, and Clarity ECL (1705061</w:t>
      </w:r>
      <w:r>
        <w:rPr>
          <w:rFonts w:ascii="Times New Roman" w:hAnsi="Times New Roman" w:cs="Times New Roman"/>
          <w:sz w:val="24"/>
          <w:szCs w:val="24"/>
        </w:rPr>
        <w:t xml:space="preserve">, </w:t>
      </w:r>
      <w:r w:rsidRPr="00694AFA">
        <w:rPr>
          <w:rFonts w:ascii="Times New Roman" w:hAnsi="Times New Roman" w:cs="Times New Roman"/>
          <w:sz w:val="24"/>
          <w:szCs w:val="24"/>
        </w:rPr>
        <w:t>Bio-Rad) at room temperature, with each incubation separated by washes in TBS-T (0.1% Tween). Immune-reactive species, total protein loading, and Kaleidoscope protein ladder (161-0375</w:t>
      </w:r>
      <w:r>
        <w:rPr>
          <w:rFonts w:ascii="Times New Roman" w:hAnsi="Times New Roman" w:cs="Times New Roman"/>
          <w:sz w:val="24"/>
          <w:szCs w:val="24"/>
        </w:rPr>
        <w:t xml:space="preserve">, </w:t>
      </w:r>
      <w:r w:rsidRPr="00694AFA">
        <w:rPr>
          <w:rFonts w:ascii="Times New Roman" w:hAnsi="Times New Roman" w:cs="Times New Roman"/>
          <w:sz w:val="24"/>
          <w:szCs w:val="24"/>
        </w:rPr>
        <w:t xml:space="preserve">Bio-Rad) were then visualized with a </w:t>
      </w:r>
      <w:proofErr w:type="spellStart"/>
      <w:r w:rsidRPr="00694AFA">
        <w:rPr>
          <w:rFonts w:ascii="Times New Roman" w:hAnsi="Times New Roman" w:cs="Times New Roman"/>
          <w:sz w:val="24"/>
          <w:szCs w:val="24"/>
        </w:rPr>
        <w:t>ChemiDoc</w:t>
      </w:r>
      <w:proofErr w:type="spellEnd"/>
      <w:r>
        <w:rPr>
          <w:rFonts w:ascii="Times New Roman" w:hAnsi="Times New Roman" w:cs="Times New Roman"/>
          <w:sz w:val="24"/>
          <w:szCs w:val="24"/>
        </w:rPr>
        <w:t xml:space="preserve"> MP</w:t>
      </w:r>
      <w:r w:rsidRPr="00694AFA">
        <w:rPr>
          <w:rFonts w:ascii="Times New Roman" w:hAnsi="Times New Roman" w:cs="Times New Roman"/>
          <w:sz w:val="24"/>
          <w:szCs w:val="24"/>
        </w:rPr>
        <w:t xml:space="preserve"> digital gel imager (Bio-Rad). Primary antibodies and dilutions</w:t>
      </w:r>
      <w:r>
        <w:rPr>
          <w:rFonts w:ascii="Times New Roman" w:hAnsi="Times New Roman" w:cs="Times New Roman"/>
          <w:sz w:val="24"/>
          <w:szCs w:val="24"/>
        </w:rPr>
        <w:t xml:space="preserve"> used are as follows</w:t>
      </w:r>
      <w:r w:rsidRPr="00694AFA">
        <w:rPr>
          <w:rFonts w:ascii="Times New Roman" w:hAnsi="Times New Roman" w:cs="Times New Roman"/>
          <w:sz w:val="24"/>
          <w:szCs w:val="24"/>
        </w:rPr>
        <w:t xml:space="preserve">: rabbit α-Atx2 at 1:1,000 (gift of Dr. </w:t>
      </w:r>
      <w:proofErr w:type="spellStart"/>
      <w:r w:rsidRPr="00694AFA">
        <w:rPr>
          <w:rFonts w:ascii="Times New Roman" w:hAnsi="Times New Roman" w:cs="Times New Roman"/>
          <w:sz w:val="24"/>
          <w:szCs w:val="24"/>
        </w:rPr>
        <w:t>Chunghun</w:t>
      </w:r>
      <w:proofErr w:type="spellEnd"/>
      <w:r w:rsidRPr="00694AFA">
        <w:rPr>
          <w:rFonts w:ascii="Times New Roman" w:hAnsi="Times New Roman" w:cs="Times New Roman"/>
          <w:sz w:val="24"/>
          <w:szCs w:val="24"/>
        </w:rPr>
        <w:t xml:space="preserve"> Lim, </w:t>
      </w:r>
      <w:r w:rsidRPr="00694AFA">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{"citationItems":[{"id":"ITEM-1","itemData":{"DOI":"10.1016/j.molcel.2017.03.004","ISSN":"10972765","abstract":"ATAXIN-2 (ATX2) has been implicated in human neurodegenerative diseases, yet it remains elusive how ATX2 assembles specific protein complexes to execute its physiological roles. Here we employ the posttranscriptional co-activator function of Drosophila ATX2 to demonstrate that LSM12 and ME31B/DDX6 are two ATX2-associating factors crucial for sustaining circadian rhythms. LSM12 acts as a molecular adaptor for the recruitment of TWENTY-FOUR (TYF) to ATX2. The ATX2-LSM12-TYF complex thereby stimulates TYF-dependent translation of the rate-limiting clock gene period (per) to maintain 24 hr periodicity in circadian behaviors. In contrast, ATX2 contributes to NOT1-mediated gene silencing and associates with NOT1 in a ME31B/DDX6-dependent manner. The ME31B/DDX6-NOT1 complex does not affect PER translation but supports high-amplitude behavioral rhythms along with ATX2, indicating a PER-independent clock function of ATX2. Taken together, these data suggest that the ATX2 complex may switch distinct modes of posttranscriptional regulation through its associating factors to control circadian clocks and ATX2-related physiology.","author":[{"dropping-particle":"","family":"Lee","given":"Jongbo","non-dropping-particle":"","parse-names":false,"suffix":""},{"dropping-particle":"","family":"Yoo","given":"Eunseok","non-dropping-particle":"","parse-names":false,"suffix":""},{"dropping-particle":"","family":"Lee","given":"Hoyeon","non-dropping-particle":"","parse-names":false,"suffix":""},{"dropping-particle":"","family":"Park","given":"Keunhee","non-dropping-particle":"","parse-names":false,"suffix":""},{"dropping-particle":"","family":"Hur","given":"Jin-Hoe","non-dropping-particle":"","parse-names":false,"suffix":""},{"dropping-particle":"","family":"Lim","given":"Chunghun","non-dropping-particle":"","parse-names":false,"suffix":""}],"container-title":"Molecular Cell","id":"ITEM-1","issue":"1","issued":{"date-parts":[["2017"]]},"note":"A rabbit polyclonal anti-ATX2 was generated for this paper. However, our anti-dNab2 is also a rabbit polyclonal, and dNab2 runs around 150 kDa - the same region as Atx2. Therefore, requesting guinea pig Atx2 from another source may be necessary instead.\n\nSource on the me31B Flybase page for the following me31B protein-protein physical interactions:\nme31B - Atx2\nme31B - Lsm12a\nme31B - Not1\nme31B - pAbp (along with Wang et al., 2017)\nme31B - tyf\n\nAlso the source on the same page for an Atx2-me31B genetic interaction\n","page":"129-140.e7","title":"LSM12 and ME31B/DDX6 Define Distinct Modes of Posttranscriptional Regulation by ATAXIN-2 Protein Complex in Drosophila Circadian Pacemaker Neurons","type":"article-journal","volume":"66"},"uris":["http://www.mendeley.com/documents/?uuid=4e46fa95-961b-398f-bfb3-d614b5d5d2e4"]}],"mendeley":{"formattedCitation":"(Lee &lt;i&gt;et al.&lt;/i&gt; 2017)","plainTextFormattedCitation":"(Lee et al. 2017)","previouslyFormattedCitation":"(Lee &lt;i&gt;et al.&lt;/i&gt; 2017)"},"properties":{"noteIndex":0},"schema":"https://github.com/citation-style-language/schema/raw/master/csl-citation.json"}</w:instrText>
      </w:r>
      <w:r w:rsidRPr="00694AFA">
        <w:rPr>
          <w:rFonts w:ascii="Times New Roman" w:hAnsi="Times New Roman" w:cs="Times New Roman"/>
          <w:sz w:val="24"/>
          <w:szCs w:val="24"/>
        </w:rPr>
        <w:fldChar w:fldCharType="separate"/>
      </w:r>
      <w:r w:rsidRPr="00694AFA">
        <w:rPr>
          <w:rFonts w:ascii="Times New Roman" w:hAnsi="Times New Roman" w:cs="Times New Roman"/>
          <w:noProof/>
          <w:sz w:val="24"/>
          <w:szCs w:val="24"/>
        </w:rPr>
        <w:t xml:space="preserve">(Lee </w:t>
      </w:r>
      <w:r w:rsidRPr="00694AFA">
        <w:rPr>
          <w:rFonts w:ascii="Times New Roman" w:hAnsi="Times New Roman" w:cs="Times New Roman"/>
          <w:i/>
          <w:noProof/>
          <w:sz w:val="24"/>
          <w:szCs w:val="24"/>
        </w:rPr>
        <w:t>et al.</w:t>
      </w:r>
      <w:r w:rsidRPr="00694AFA">
        <w:rPr>
          <w:rFonts w:ascii="Times New Roman" w:hAnsi="Times New Roman" w:cs="Times New Roman"/>
          <w:noProof/>
          <w:sz w:val="24"/>
          <w:szCs w:val="24"/>
        </w:rPr>
        <w:t xml:space="preserve"> 2017)</w:t>
      </w:r>
      <w:r w:rsidRPr="00694AFA">
        <w:rPr>
          <w:rFonts w:ascii="Times New Roman" w:hAnsi="Times New Roman" w:cs="Times New Roman"/>
          <w:sz w:val="24"/>
          <w:szCs w:val="24"/>
        </w:rPr>
        <w:fldChar w:fldCharType="end"/>
      </w:r>
      <w:r w:rsidRPr="00694AFA">
        <w:rPr>
          <w:rFonts w:ascii="Times New Roman" w:hAnsi="Times New Roman" w:cs="Times New Roman"/>
          <w:sz w:val="24"/>
          <w:szCs w:val="24"/>
        </w:rPr>
        <w:t>), rabbit α-alpha tubulin at 1:1,000 (ab52866</w:t>
      </w:r>
      <w:r>
        <w:rPr>
          <w:rFonts w:ascii="Times New Roman" w:hAnsi="Times New Roman" w:cs="Times New Roman"/>
          <w:sz w:val="24"/>
          <w:szCs w:val="24"/>
        </w:rPr>
        <w:t>,</w:t>
      </w:r>
      <w:r w:rsidRPr="00694AFA">
        <w:rPr>
          <w:rFonts w:ascii="Times New Roman" w:hAnsi="Times New Roman" w:cs="Times New Roman"/>
          <w:sz w:val="24"/>
          <w:szCs w:val="24"/>
        </w:rPr>
        <w:t xml:space="preserve"> Abcam), rabbit α-Nab2 (1:4,000) (first described in </w:t>
      </w:r>
      <w:r w:rsidRPr="00694AFA">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{"citationItems":[{"id":"ITEM-1","itemData":{"DOI":"10.1073/pnas.1107103108","ISSN":"1091-6490","PMID":"21734151","abstract":"Here we report a human intellectual disability disease locus on chromosome 14q31.3 corresponding to mutation of the ZC3H14 gene that encodes a conserved polyadenosine RNA binding protein. We identify ZC3H14 mRNA transcripts in the human central nervous system, and we find that rodent ZC3H14 protein is expressed in hippocampal neurons and colocalizes with poly(A) RNA in neuronal cell bodies. A Drosophila melanogaster model of this disease created by mutation of the gene encoding the ZC3H14 ortholog dNab2, which also binds polyadenosine RNA, reveals that dNab2 is essential for development and required in neurons for normal locomotion and flight. Biochemical and genetic data indicate that dNab2 restricts bulk poly(A) tail length in vivo, suggesting that this function may underlie its role in development and disease. These studies reveal a conserved requirement for ZC3H14/dNab2 in the metazoan nervous system and identify a poly(A) RNA binding protein associated with a human brain disorder.","author":[{"dropping-particle":"","family":"Pak","given":"Changhui","non-dropping-particle":"","parse-names":false,"suffix":""},{"dropping-particle":"","family":"Garshasbi","given":"Masoud","non-dropping-particle":"","parse-names":false,"suffix":""},{"dropping-particle":"","family":"Kahrizi","given":"Kimia","non-dropping-particle":"","parse-names":false,"suffix":""},{"dropping-particle":"","family":"Gross","given":"Christina","non-dropping-particle":"","parse-names":false,"suffix":""},{"dropping-particle":"","family":"Apponi","given":"Luciano H","non-dropping-particle":"","parse-names":false,"suffix":""},{"dropping-particle":"","family":"Noto","given":"John J","non-dropping-particle":"","parse-names":false,"suffix":""},{"dropping-particle":"","family":"Kelly","given":"Seth M","non-dropping-particle":"","parse-names":false,"suffix":""},{"dropping-particle":"","family":"Leung","given":"Sara W","non-dropping-particle":"","parse-names":false,"suffix":""},{"dropping-particle":"","family":"Tzschach","given":"Andreas","non-dropping-particle":"","parse-names":false,"suffix":""},{"dropping-particle":"","family":"Behjati","given":"Farkhondeh","non-dropping-particle":"","parse-names":false,"suffix":""},{"dropping-particle":"","family":"Abedini","given":"Seyedeh Sedigheh","non-dropping-particle":"","parse-names":false,"suffix":""},{"dropping-particle":"","family":"Mohseni","given":"Marzieh","non-dropping-particle":"","parse-names":false,"suffix":""},{"dropping-particle":"","family":"Jensen","given":"Lars R","non-dropping-particle":"","parse-names":false,"suffix":""},{"dropping-particle":"","family":"Hu","given":"Hao","non-dropping-particle":"","parse-names":false,"suffix":""},{"dropping-particle":"","family":"Huang","given":"Brenda","non-dropping-particle":"","parse-names":false,"suffix":""},{"dropping-particle":"","family":"Stahley","given":"Sara N","non-dropping-particle":"","parse-names":false,"suffix":""},{"dropping-particle":"","family":"Liu","given":"Guanglu","non-dropping-particle":"","parse-names":false,"suffix":""},{"dropping-particle":"","family":"Williams","given":"Kathryn R","non-dropping-particle":"","parse-names":false,"suffix":""},{"dropping-particle":"","family":"Burdick","given":"Sharon","non-dropping-particle":"","parse-names":false,"suffix":""},{"dropping-particle":"","family":"Feng","given":"Yue","non-dropping-particle":"","parse-names":false,"suffix":""},{"dropping-particle":"","family":"Sanyal","given":"Subhabrata","non-dropping-particle":"","parse-names":false,"suffix":""},{"dropping-particle":"","family":"Bassell","given":"Gary J","non-dropping-particle":"","parse-names":false,"suffix":""},{"dropping-particle":"","family":"Ropers","given":"Hans-Hilger","non-dropping-particle":"","parse-names":false,"suffix":""},{"dropping-particle":"","family":"Najmabadi","given":"Hossein","non-dropping-particle":"","parse-names":false,"suffix":""},{"dropping-particle":"","family":"Corbett","given":"Anita H","non-dropping-particle":"","parse-names":false,"suffix":""},{"dropping-particle":"","family":"Moberg","given":"Kenneth H","non-dropping-particle":"","parse-names":false,"suffix":""},{"dropping-particle":"","family":"Kuss","given":"Andreas W","non-dropping-particle":"","parse-names":false,"suffix":""}],"container-title":"Proceedings of the National Academy of Sciences of the United States of America","id":"ITEM-1","issue":"30","issued":{"date-parts":[["2011","7","26"]]},"note":"Materials and Methods - ~100 words\nSI Methods - ~1,017 words\n\nThe orginal dNab2 paper. Also publication of ZC3H14-intellecutal disability links. ChangHui's paper.\n\nThe maternal contribution/maternal effect data is referenced in this paper, but it is not quantified or shown, either in the main text or in the Supplemental material.","page":"12390-5","publisher":"National Academy of Sciences","title":"Mutation of the conserved polyadenosine RNA binding protein, ZC3H14/dNab2, impairs neural function in Drosophila and humans.","type":"article-journal","volume":"108"},"uris":["http://www.mendeley.com/documents/?uuid=bade6957-4e9b-377c-9905-1de3911f1647"]}],"mendeley":{"formattedCitation":"(Pak &lt;i&gt;et al.&lt;/i&gt; 2011)","plainTextFormattedCitation":"(Pak et al. 2011)","previouslyFormattedCitation":"(Pak &lt;i&gt;et al.&lt;/i&gt; 2011)"},"properties":{"noteIndex":0},"schema":"https://github.com/citation-style-language/schema/raw/master/csl-citation.json"}</w:instrText>
      </w:r>
      <w:r w:rsidRPr="00694AFA">
        <w:rPr>
          <w:rFonts w:ascii="Times New Roman" w:hAnsi="Times New Roman" w:cs="Times New Roman"/>
          <w:sz w:val="24"/>
          <w:szCs w:val="24"/>
        </w:rPr>
        <w:fldChar w:fldCharType="separate"/>
      </w:r>
      <w:r w:rsidRPr="00694AFA">
        <w:rPr>
          <w:rFonts w:ascii="Times New Roman" w:hAnsi="Times New Roman" w:cs="Times New Roman"/>
          <w:noProof/>
          <w:sz w:val="24"/>
          <w:szCs w:val="24"/>
        </w:rPr>
        <w:t xml:space="preserve">(Pak </w:t>
      </w:r>
      <w:r w:rsidRPr="00694AFA">
        <w:rPr>
          <w:rFonts w:ascii="Times New Roman" w:hAnsi="Times New Roman" w:cs="Times New Roman"/>
          <w:i/>
          <w:noProof/>
          <w:sz w:val="24"/>
          <w:szCs w:val="24"/>
        </w:rPr>
        <w:t>et al.</w:t>
      </w:r>
      <w:r w:rsidRPr="00694AFA">
        <w:rPr>
          <w:rFonts w:ascii="Times New Roman" w:hAnsi="Times New Roman" w:cs="Times New Roman"/>
          <w:noProof/>
          <w:sz w:val="24"/>
          <w:szCs w:val="24"/>
        </w:rPr>
        <w:t xml:space="preserve"> 2011)</w:t>
      </w:r>
      <w:r w:rsidRPr="00694AFA">
        <w:rPr>
          <w:rFonts w:ascii="Times New Roman" w:hAnsi="Times New Roman" w:cs="Times New Roman"/>
          <w:sz w:val="24"/>
          <w:szCs w:val="24"/>
        </w:rPr>
        <w:fldChar w:fldCharType="end"/>
      </w:r>
      <w:r w:rsidRPr="00694AFA">
        <w:rPr>
          <w:rFonts w:ascii="Times New Roman" w:hAnsi="Times New Roman" w:cs="Times New Roman"/>
          <w:sz w:val="24"/>
          <w:szCs w:val="24"/>
        </w:rPr>
        <w:t>), mouse α-Fmr1 at 1:200 (sc-57005</w:t>
      </w:r>
      <w:r>
        <w:rPr>
          <w:rFonts w:ascii="Times New Roman" w:hAnsi="Times New Roman" w:cs="Times New Roman"/>
          <w:sz w:val="24"/>
          <w:szCs w:val="24"/>
        </w:rPr>
        <w:t>,</w:t>
      </w:r>
      <w:r w:rsidRPr="00694AFA">
        <w:rPr>
          <w:rFonts w:ascii="Times New Roman" w:hAnsi="Times New Roman" w:cs="Times New Roman"/>
          <w:sz w:val="24"/>
          <w:szCs w:val="24"/>
        </w:rPr>
        <w:t xml:space="preserve"> Santa Cruz Biotechnology), and mouse α-FLAG at 1:500 (F1804, Sigma-Aldrich). Secondary antibodies and dilutions</w:t>
      </w:r>
      <w:r>
        <w:rPr>
          <w:rFonts w:ascii="Times New Roman" w:hAnsi="Times New Roman" w:cs="Times New Roman"/>
          <w:sz w:val="24"/>
          <w:szCs w:val="24"/>
        </w:rPr>
        <w:t xml:space="preserve"> used are as follows</w:t>
      </w:r>
      <w:r w:rsidRPr="00694AFA">
        <w:rPr>
          <w:rFonts w:ascii="Times New Roman" w:hAnsi="Times New Roman" w:cs="Times New Roman"/>
          <w:sz w:val="24"/>
          <w:szCs w:val="24"/>
        </w:rPr>
        <w:t>: goat α-rabbit HRP at 1:4,000 (Jackson) and goat α-mouse HRP at 1:1,000</w:t>
      </w:r>
      <w:r>
        <w:rPr>
          <w:rFonts w:ascii="Times New Roman" w:hAnsi="Times New Roman" w:cs="Times New Roman"/>
          <w:sz w:val="24"/>
          <w:szCs w:val="24"/>
        </w:rPr>
        <w:t>.</w:t>
      </w:r>
    </w:p>
    <w:p w14:paraId="5013D380" w14:textId="77777777" w:rsidR="008511C8" w:rsidRPr="009F1F6B" w:rsidRDefault="008511C8" w:rsidP="00455759">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Independent </w:t>
      </w:r>
      <w:r w:rsidRPr="00FF2202">
        <w:rPr>
          <w:rFonts w:ascii="Times New Roman" w:hAnsi="Times New Roman" w:cs="Times New Roman"/>
          <w:b/>
          <w:bCs/>
          <w:i/>
          <w:iCs/>
          <w:sz w:val="24"/>
          <w:szCs w:val="24"/>
        </w:rPr>
        <w:t>DESeq2</w:t>
      </w:r>
      <w:r>
        <w:rPr>
          <w:rFonts w:ascii="Times New Roman" w:hAnsi="Times New Roman" w:cs="Times New Roman"/>
          <w:b/>
          <w:bCs/>
          <w:sz w:val="24"/>
          <w:szCs w:val="24"/>
        </w:rPr>
        <w:t xml:space="preserve"> normalization of IP and Input sample read </w:t>
      </w:r>
      <w:proofErr w:type="gramStart"/>
      <w:r>
        <w:rPr>
          <w:rFonts w:ascii="Times New Roman" w:hAnsi="Times New Roman" w:cs="Times New Roman"/>
          <w:b/>
          <w:bCs/>
          <w:sz w:val="24"/>
          <w:szCs w:val="24"/>
        </w:rPr>
        <w:t>counts</w:t>
      </w:r>
      <w:proofErr w:type="gramEnd"/>
    </w:p>
    <w:p w14:paraId="23A5C3A6" w14:textId="77777777" w:rsidR="008511C8" w:rsidRDefault="008511C8" w:rsidP="00455759">
      <w:pPr>
        <w:spacing w:after="0" w:line="480" w:lineRule="auto"/>
        <w:jc w:val="both"/>
        <w:rPr>
          <w:rFonts w:ascii="Times New Roman" w:hAnsi="Times New Roman" w:cs="Times New Roman"/>
          <w:sz w:val="24"/>
          <w:szCs w:val="24"/>
        </w:rPr>
      </w:pPr>
      <w:r w:rsidRPr="00694AFA">
        <w:rPr>
          <w:rFonts w:ascii="Times New Roman" w:hAnsi="Times New Roman" w:cs="Times New Roman"/>
          <w:sz w:val="24"/>
          <w:szCs w:val="24"/>
        </w:rPr>
        <w:t xml:space="preserve">Importantly, </w:t>
      </w:r>
      <w:r>
        <w:rPr>
          <w:rFonts w:ascii="Times New Roman" w:hAnsi="Times New Roman" w:cs="Times New Roman"/>
          <w:sz w:val="24"/>
          <w:szCs w:val="24"/>
        </w:rPr>
        <w:t xml:space="preserve">we chose to perform two independent </w:t>
      </w:r>
      <w:r w:rsidRPr="00FF2202">
        <w:rPr>
          <w:rFonts w:ascii="Times New Roman" w:hAnsi="Times New Roman" w:cs="Times New Roman"/>
          <w:i/>
          <w:iCs/>
          <w:sz w:val="24"/>
          <w:szCs w:val="24"/>
        </w:rPr>
        <w:t>DESeq2</w:t>
      </w:r>
      <w:r w:rsidRPr="00694AFA">
        <w:rPr>
          <w:rFonts w:ascii="Times New Roman" w:hAnsi="Times New Roman" w:cs="Times New Roman"/>
          <w:sz w:val="24"/>
          <w:szCs w:val="24"/>
        </w:rPr>
        <w:t xml:space="preserve"> analys</w:t>
      </w:r>
      <w:r>
        <w:rPr>
          <w:rFonts w:ascii="Times New Roman" w:hAnsi="Times New Roman" w:cs="Times New Roman"/>
          <w:sz w:val="24"/>
          <w:szCs w:val="24"/>
        </w:rPr>
        <w:t>e</w:t>
      </w:r>
      <w:r w:rsidRPr="00694AFA">
        <w:rPr>
          <w:rFonts w:ascii="Times New Roman" w:hAnsi="Times New Roman" w:cs="Times New Roman"/>
          <w:sz w:val="24"/>
          <w:szCs w:val="24"/>
        </w:rPr>
        <w:t>s, once on the 12 IP samples and once on the 12 Input samples</w:t>
      </w:r>
      <w:r>
        <w:rPr>
          <w:rFonts w:ascii="Times New Roman" w:hAnsi="Times New Roman" w:cs="Times New Roman"/>
          <w:sz w:val="24"/>
          <w:szCs w:val="24"/>
        </w:rPr>
        <w:t xml:space="preserve">, to normalize sample read counts for inter-library comparisons, rather than performing a single </w:t>
      </w:r>
      <w:r w:rsidRPr="00FF2202">
        <w:rPr>
          <w:rFonts w:ascii="Times New Roman" w:hAnsi="Times New Roman" w:cs="Times New Roman"/>
          <w:i/>
          <w:iCs/>
          <w:sz w:val="24"/>
          <w:szCs w:val="24"/>
        </w:rPr>
        <w:t>DESeq2</w:t>
      </w:r>
      <w:r>
        <w:rPr>
          <w:rFonts w:ascii="Times New Roman" w:hAnsi="Times New Roman" w:cs="Times New Roman"/>
          <w:sz w:val="24"/>
          <w:szCs w:val="24"/>
        </w:rPr>
        <w:t xml:space="preserve"> analysis on all 24 samples at once</w:t>
      </w:r>
      <w:r w:rsidRPr="00694AFA">
        <w:rPr>
          <w:rFonts w:ascii="Times New Roman" w:hAnsi="Times New Roman" w:cs="Times New Roman"/>
          <w:sz w:val="24"/>
          <w:szCs w:val="24"/>
        </w:rPr>
        <w:t>.</w:t>
      </w:r>
      <w:r>
        <w:rPr>
          <w:rFonts w:ascii="Times New Roman" w:hAnsi="Times New Roman" w:cs="Times New Roman"/>
          <w:sz w:val="24"/>
          <w:szCs w:val="24"/>
        </w:rPr>
        <w:t xml:space="preserve"> In our view, t</w:t>
      </w:r>
      <w:r w:rsidRPr="00694AFA">
        <w:rPr>
          <w:rFonts w:ascii="Times New Roman" w:hAnsi="Times New Roman" w:cs="Times New Roman"/>
          <w:sz w:val="24"/>
          <w:szCs w:val="24"/>
        </w:rPr>
        <w:t xml:space="preserve">his </w:t>
      </w:r>
      <w:r>
        <w:rPr>
          <w:rFonts w:ascii="Times New Roman" w:hAnsi="Times New Roman" w:cs="Times New Roman"/>
          <w:sz w:val="24"/>
          <w:szCs w:val="24"/>
        </w:rPr>
        <w:t>sample separation method</w:t>
      </w:r>
      <w:r w:rsidRPr="00694AFA">
        <w:rPr>
          <w:rFonts w:ascii="Times New Roman" w:hAnsi="Times New Roman" w:cs="Times New Roman"/>
          <w:sz w:val="24"/>
          <w:szCs w:val="24"/>
        </w:rPr>
        <w:t xml:space="preserve"> produces </w:t>
      </w:r>
      <w:r>
        <w:rPr>
          <w:rFonts w:ascii="Times New Roman" w:hAnsi="Times New Roman" w:cs="Times New Roman"/>
          <w:sz w:val="24"/>
          <w:szCs w:val="24"/>
        </w:rPr>
        <w:t xml:space="preserve">the most </w:t>
      </w:r>
      <w:r w:rsidRPr="00694AFA">
        <w:rPr>
          <w:rFonts w:ascii="Times New Roman" w:hAnsi="Times New Roman" w:cs="Times New Roman"/>
          <w:sz w:val="24"/>
          <w:szCs w:val="24"/>
        </w:rPr>
        <w:t>properly normalized read counts for inter-sample comparison</w:t>
      </w:r>
      <w:r>
        <w:rPr>
          <w:rFonts w:ascii="Times New Roman" w:hAnsi="Times New Roman" w:cs="Times New Roman"/>
          <w:sz w:val="24"/>
          <w:szCs w:val="24"/>
        </w:rPr>
        <w:t xml:space="preserve"> </w:t>
      </w:r>
      <w:r w:rsidRPr="00694AFA">
        <w:rPr>
          <w:rFonts w:ascii="Times New Roman" w:hAnsi="Times New Roman" w:cs="Times New Roman"/>
          <w:sz w:val="24"/>
          <w:szCs w:val="24"/>
        </w:rPr>
        <w:t xml:space="preserve">because, when considered as a whole group, samples from RNA IP experiments violate some of the assumptions underlying the </w:t>
      </w:r>
      <w:r w:rsidRPr="00FF2202">
        <w:rPr>
          <w:rFonts w:ascii="Times New Roman" w:hAnsi="Times New Roman" w:cs="Times New Roman"/>
          <w:i/>
          <w:iCs/>
          <w:sz w:val="24"/>
          <w:szCs w:val="24"/>
        </w:rPr>
        <w:t>DESeq</w:t>
      </w:r>
      <w:r w:rsidRPr="00694AFA">
        <w:rPr>
          <w:rFonts w:ascii="Times New Roman" w:hAnsi="Times New Roman" w:cs="Times New Roman"/>
          <w:sz w:val="24"/>
          <w:szCs w:val="24"/>
        </w:rPr>
        <w:t xml:space="preserve"> median-of-ratios read normalization strategy </w:t>
      </w:r>
      <w:r w:rsidRPr="00694AFA">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{"citationItems":[{"id":"ITEM-1","itemData":{"DOI":"10.1186/gb-2010-11-10-r106","ISSN":"14747596","PMID":"20979621","abstract":"High-throughput sequencing assays such as RNA-Seq, ChIP-Seq or barcode counting provide quantitative readouts in the form of count data. To infer differential signal in such data correctly and with good statistical power, estimation of data variability throughout the dynamic range and a suitable error model are required. We propose a method based on the negative binomial distribution, with variance and mean linked by local regression and present an implementation, DESeq, as an R/Bioconductor package. © 2010 Anders et al.","author":[{"dropping-particle":"","family":"Anders","given":"Simon","non-dropping-particle":"","parse-names":false,"suffix":""},{"dropping-particle":"","family":"Huber","given":"Wolfgang","non-dropping-particle":"","parse-names":false,"suffix":""}],"container-title":"Genome Biology","id":"ITEM-1","issue":"10","issued":{"date-parts":[["2010","10","27"]]},"note":"Original DESeq paper.\n\nSee equation 5 for &amp;quot;median-of-the-ratios&amp;quot; method used to calculate a size factor per sample in DESeq and DESeq2 (that is, to normalize for both library size and composition (rather than dividing by total reads as in R or FPKM, which only normalizes for library size not composition and is thus sensitive to large fold changes in highly expressed genes skewing estimates for many other genes and generating false positives)).","page":"R106","publisher":"BioMed Central","title":"Differential expression analysis for sequence count data","type":"article-journal","volume":"11"},"uris":["http://www.mendeley.com/documents/?uuid=3d5f3df8-2799-3dc5-a626-9ce901698b40"]},{"id":"ITEM-2","itemData":{"DOI":"10.1101/gr.133744.111","ISSN":"10889051","PMID":"22722343","abstract":"RNA-seq is a powerful tool for the study of alternative splicing and other forms of alternative isoform expression. Understanding the regulation of these processes requires sensitive and specific detection of differential isoform abundance in comparisons between conditions, cell types, or tissues. We present DEXSeq, a statistical method to test for differential exon usage in RNA-seq data. DEXSeq uses generalized linear models and offers reliable control of false discoveries by taking biological variation into account. DEXSeq detects with high sensitivity genes, and in many cases exons, that are subject to differential exon usage. We demonstrate the versatility of DEXSeq by applying it to several data sets. The method facilitates the study of regulation and function of alternative exon usage on a genome-wide scale. An implementation of DEXSeq is available as an R/Bioconductor package. © 2012, Published by Cold Spring Harbor Laboratory Press.","author":[{"dropping-particle":"","family":"Anders","given":"Simon","non-dropping-particle":"","parse-names":false,"suffix":""},{"dropping-particle":"","family":"Reyes","given":"Alejandro","non-dropping-particle":"","parse-names":false,"suffix":""},{"dropping-particle":"","family":"Huber","given":"Wolfgang","non-dropping-particle":"","parse-names":false,"suffix":""}],"container-title":"Genome Research","id":"ITEM-2","issue":"10","issued":{"date-parts":[["2012","10","1"]]},"note":"The original DEXSeq paper.\n\n&amp;quot;We present DEXSeq, a statistical method to test for dif- ferential exon usage in RNA-seq data.&amp;quot;\n\nSee Supplemental Note S.1 for extended explanation of median-of-ratios method of library size and composition normalization used by the DESeq family of software and appropriateness of this normalization method over F/RPKM-esque division by library size alone.","page":"2008-2017","publisher":"Cold Spring Harbor Laboratory Press","title":"Detecting differential usage of exons from RNA-seq data","type":"article-journal","volume":"22"},"uris":["http://www.mendeley.com/documents/?uuid=b79e117e-3e4e-33f6-99d4-e77a4f5edb70"]}],"mendeley":{"formattedCitation":"(Anders and Huber 2010; Anders &lt;i&gt;et al.&lt;/i&gt; 2012)","plainTextFormattedCitation":"(Anders and Huber 2010; Anders et al. 2012)","previouslyFormattedCitation":"(Anders and Huber 2010; Anders &lt;i&gt;et al.&lt;/i&gt; 2012)"},"properties":{"noteIndex":0},"schema":"https://github.com/citation-style-language/schema/raw/master/csl-citation.json"}</w:instrText>
      </w:r>
      <w:r w:rsidRPr="00694AFA">
        <w:rPr>
          <w:rFonts w:ascii="Times New Roman" w:hAnsi="Times New Roman" w:cs="Times New Roman"/>
          <w:sz w:val="24"/>
          <w:szCs w:val="24"/>
        </w:rPr>
        <w:fldChar w:fldCharType="separate"/>
      </w:r>
      <w:r w:rsidRPr="004718EF">
        <w:rPr>
          <w:rFonts w:ascii="Times New Roman" w:hAnsi="Times New Roman" w:cs="Times New Roman"/>
          <w:noProof/>
          <w:sz w:val="24"/>
          <w:szCs w:val="24"/>
        </w:rPr>
        <w:t xml:space="preserve">(Anders and Huber 2010; Anders </w:t>
      </w:r>
      <w:r w:rsidRPr="004718EF">
        <w:rPr>
          <w:rFonts w:ascii="Times New Roman" w:hAnsi="Times New Roman" w:cs="Times New Roman"/>
          <w:i/>
          <w:noProof/>
          <w:sz w:val="24"/>
          <w:szCs w:val="24"/>
        </w:rPr>
        <w:t>et al.</w:t>
      </w:r>
      <w:r w:rsidRPr="004718EF">
        <w:rPr>
          <w:rFonts w:ascii="Times New Roman" w:hAnsi="Times New Roman" w:cs="Times New Roman"/>
          <w:noProof/>
          <w:sz w:val="24"/>
          <w:szCs w:val="24"/>
        </w:rPr>
        <w:t xml:space="preserve"> 2012)</w:t>
      </w:r>
      <w:r w:rsidRPr="00694AFA">
        <w:rPr>
          <w:rFonts w:ascii="Times New Roman" w:hAnsi="Times New Roman" w:cs="Times New Roman"/>
          <w:sz w:val="24"/>
          <w:szCs w:val="24"/>
        </w:rPr>
        <w:fldChar w:fldCharType="end"/>
      </w:r>
      <w:r w:rsidRPr="00694AFA">
        <w:rPr>
          <w:rFonts w:ascii="Times New Roman" w:hAnsi="Times New Roman" w:cs="Times New Roman"/>
          <w:sz w:val="24"/>
          <w:szCs w:val="24"/>
        </w:rPr>
        <w:t xml:space="preserve">. </w:t>
      </w:r>
      <w:r>
        <w:rPr>
          <w:rFonts w:ascii="Times New Roman" w:hAnsi="Times New Roman" w:cs="Times New Roman"/>
          <w:sz w:val="24"/>
          <w:szCs w:val="24"/>
        </w:rPr>
        <w:t>Specifically</w:t>
      </w:r>
      <w:r w:rsidRPr="00694AFA">
        <w:rPr>
          <w:rFonts w:ascii="Times New Roman" w:hAnsi="Times New Roman" w:cs="Times New Roman"/>
          <w:sz w:val="24"/>
          <w:szCs w:val="24"/>
        </w:rPr>
        <w:t xml:space="preserve">, the </w:t>
      </w:r>
      <w:r w:rsidRPr="00FF2202">
        <w:rPr>
          <w:rFonts w:ascii="Times New Roman" w:hAnsi="Times New Roman" w:cs="Times New Roman"/>
          <w:i/>
          <w:iCs/>
          <w:sz w:val="24"/>
          <w:szCs w:val="24"/>
        </w:rPr>
        <w:t>DESeq</w:t>
      </w:r>
      <w:r w:rsidRPr="00694AFA">
        <w:rPr>
          <w:rFonts w:ascii="Times New Roman" w:hAnsi="Times New Roman" w:cs="Times New Roman"/>
          <w:sz w:val="24"/>
          <w:szCs w:val="24"/>
        </w:rPr>
        <w:t xml:space="preserve"> software within </w:t>
      </w:r>
      <w:r w:rsidRPr="006C200D">
        <w:rPr>
          <w:rFonts w:ascii="Times New Roman" w:hAnsi="Times New Roman" w:cs="Times New Roman"/>
          <w:i/>
          <w:iCs/>
          <w:sz w:val="24"/>
          <w:szCs w:val="24"/>
        </w:rPr>
        <w:t>DESeq2</w:t>
      </w:r>
      <w:r w:rsidRPr="00694AFA">
        <w:rPr>
          <w:rFonts w:ascii="Times New Roman" w:hAnsi="Times New Roman" w:cs="Times New Roman"/>
          <w:sz w:val="24"/>
          <w:szCs w:val="24"/>
        </w:rPr>
        <w:t xml:space="preserve"> normalizes for library size and composition under the assumption that most genes are expressed similarly across samples. This is not expected to be true between IP and Input samples, but it is a reasonable assumption within these groups. Thus, </w:t>
      </w:r>
      <w:r w:rsidRPr="006C200D">
        <w:rPr>
          <w:rFonts w:ascii="Times New Roman" w:hAnsi="Times New Roman" w:cs="Times New Roman"/>
          <w:i/>
          <w:iCs/>
          <w:sz w:val="24"/>
          <w:szCs w:val="24"/>
        </w:rPr>
        <w:t>DESeq</w:t>
      </w:r>
      <w:r w:rsidRPr="00694AFA">
        <w:rPr>
          <w:rFonts w:ascii="Times New Roman" w:hAnsi="Times New Roman" w:cs="Times New Roman"/>
          <w:sz w:val="24"/>
          <w:szCs w:val="24"/>
        </w:rPr>
        <w:t xml:space="preserve"> represents a valid count normalization strategy within, but not across, each group.</w:t>
      </w:r>
      <w:r>
        <w:rPr>
          <w:rFonts w:ascii="Times New Roman" w:hAnsi="Times New Roman" w:cs="Times New Roman"/>
          <w:sz w:val="24"/>
          <w:szCs w:val="24"/>
        </w:rPr>
        <w:t xml:space="preserve"> </w:t>
      </w:r>
      <w:r w:rsidRPr="00694AFA">
        <w:rPr>
          <w:rFonts w:ascii="Times New Roman" w:hAnsi="Times New Roman" w:cs="Times New Roman"/>
          <w:sz w:val="24"/>
          <w:szCs w:val="24"/>
        </w:rPr>
        <w:t xml:space="preserve">Further discussion on this subject may be found in the </w:t>
      </w:r>
      <w:r w:rsidRPr="006C200D">
        <w:rPr>
          <w:rFonts w:ascii="Times New Roman" w:hAnsi="Times New Roman" w:cs="Times New Roman"/>
          <w:i/>
          <w:iCs/>
          <w:sz w:val="24"/>
          <w:szCs w:val="24"/>
        </w:rPr>
        <w:t>DESeq2</w:t>
      </w:r>
      <w:r w:rsidRPr="00694AFA">
        <w:rPr>
          <w:rFonts w:ascii="Times New Roman" w:hAnsi="Times New Roman" w:cs="Times New Roman"/>
          <w:sz w:val="24"/>
          <w:szCs w:val="24"/>
        </w:rPr>
        <w:t xml:space="preserve"> vignette </w:t>
      </w:r>
      <w:r w:rsidRPr="00694AFA">
        <w:rPr>
          <w:rFonts w:ascii="Times New Roman" w:hAnsi="Times New Roman" w:cs="Times New Roman"/>
          <w:sz w:val="24"/>
          <w:szCs w:val="24"/>
        </w:rPr>
        <w:fldChar w:fldCharType="begin" w:fldLock="1"/>
      </w:r>
      <w:r w:rsidRPr="00694AFA">
        <w:rPr>
          <w:rFonts w:ascii="Times New Roman" w:hAnsi="Times New Roman" w:cs="Times New Roman"/>
          <w:sz w:val="24"/>
          <w:szCs w:val="24"/>
        </w:rPr>
        <w:instrText>ADDIN CSL_CITATION {"citationItems":[{"id":"ITEM-1","itemData":{"DOI":"10.18129/B9.bioc.DESeq2","URL":"https://www.bioconductor.org/packages/release/bioc/html/DESeq2.html","abstract":"Estimate variance-mean dependence in count data from high-throughput sequencing assays and test for differential expression based on a model using the negative binomial distribution. Includes DESeq2 Vignette from 5/12/20","author":[{"dropping-particle":"","family":"Love","given":"Michael","non-dropping-particle":"","parse-names":false,"suffix":""},{"dropping-particle":"","family":"Ahlmann-Eltze","given":"Constantin","non-dropping-particle":"","parse-names":false,"suffix":""},{"dropping-particle":"","family":"Anders","given":"Simon","non-dropping-particle":"","parse-names":false,"suffix":""},{"dropping-particle":"","family":"Huber","given":"Wolfgang","non-dropping-particle":"","parse-names":false,"suffix":""}],"id":"ITEM-1","issued":{"date-parts":[["2020"]]},"note":"Includes DESeq2 Vignette from 5/12/20\n\nTwo important highlighted sections, find these when returning to this doc to refresh memory.\n\nSections:\nTheory behind DESeq2, The DESeq2 model \nand \nFrequently asked questions, If I have mutliple groups, should I run all together or split into pairs of groups?","title":"Differential gene expression analysis based on the negative binomial distribution (DESeq2, Bioconductor Version, Release 3.11)","type":"webpage"},"uris":["http://www.mendeley.com/documents/?uuid=5d168a81-25c2-45ec-b2df-70e8cedb8e88"]}],"mendeley":{"formattedCitation":"(Love &lt;i&gt;et al.&lt;/i&gt; 2020)","plainTextFormattedCitation":"(Love et al. 2020)","previouslyFormattedCitation":"(Love &lt;i&gt;et al.&lt;/i&gt; 2020)"},"properties":{"noteIndex":0},"schema":"https://github.com/citation-style-language/schema/raw/master/csl-citation.json"}</w:instrText>
      </w:r>
      <w:r w:rsidRPr="00694AFA">
        <w:rPr>
          <w:rFonts w:ascii="Times New Roman" w:hAnsi="Times New Roman" w:cs="Times New Roman"/>
          <w:sz w:val="24"/>
          <w:szCs w:val="24"/>
        </w:rPr>
        <w:fldChar w:fldCharType="separate"/>
      </w:r>
      <w:r w:rsidRPr="00694AFA">
        <w:rPr>
          <w:rFonts w:ascii="Times New Roman" w:hAnsi="Times New Roman" w:cs="Times New Roman"/>
          <w:noProof/>
          <w:sz w:val="24"/>
          <w:szCs w:val="24"/>
        </w:rPr>
        <w:t xml:space="preserve">(Love </w:t>
      </w:r>
      <w:r w:rsidRPr="00694AFA">
        <w:rPr>
          <w:rFonts w:ascii="Times New Roman" w:hAnsi="Times New Roman" w:cs="Times New Roman"/>
          <w:i/>
          <w:noProof/>
          <w:sz w:val="24"/>
          <w:szCs w:val="24"/>
        </w:rPr>
        <w:t>et al.</w:t>
      </w:r>
      <w:r w:rsidRPr="00694AFA">
        <w:rPr>
          <w:rFonts w:ascii="Times New Roman" w:hAnsi="Times New Roman" w:cs="Times New Roman"/>
          <w:noProof/>
          <w:sz w:val="24"/>
          <w:szCs w:val="24"/>
        </w:rPr>
        <w:t xml:space="preserve"> 2020)</w:t>
      </w:r>
      <w:r w:rsidRPr="00694AFA">
        <w:rPr>
          <w:rFonts w:ascii="Times New Roman" w:hAnsi="Times New Roman" w:cs="Times New Roman"/>
          <w:sz w:val="24"/>
          <w:szCs w:val="24"/>
        </w:rPr>
        <w:fldChar w:fldCharType="end"/>
      </w:r>
      <w:r w:rsidRPr="00694AFA">
        <w:rPr>
          <w:rFonts w:ascii="Times New Roman" w:hAnsi="Times New Roman" w:cs="Times New Roman"/>
          <w:sz w:val="24"/>
          <w:szCs w:val="24"/>
        </w:rPr>
        <w:t xml:space="preserve"> available from Bioconductor </w:t>
      </w:r>
      <w:r w:rsidRPr="00694AFA">
        <w:rPr>
          <w:rFonts w:ascii="Times New Roman" w:hAnsi="Times New Roman" w:cs="Times New Roman"/>
          <w:sz w:val="24"/>
          <w:szCs w:val="24"/>
        </w:rPr>
        <w:fldChar w:fldCharType="begin" w:fldLock="1"/>
      </w:r>
      <w:r w:rsidRPr="00694AFA">
        <w:rPr>
          <w:rFonts w:ascii="Times New Roman" w:hAnsi="Times New Roman" w:cs="Times New Roman"/>
          <w:sz w:val="24"/>
          <w:szCs w:val="24"/>
        </w:rPr>
        <w:instrText>ADDIN CSL_CITATION {"citationItems":[{"id":"ITEM-1","itemData":{"abstract":"Bioconductor: open software development for computational biology and bioinformatics The Bioconductor project is an initiative for the collaborative creation of extensible software for computational biology and bioinfor-matics. The goals of the project include: fostering collaborative development and widespread use of innovative software, reducing barriers to entry into interdisciplinary scientific research, and promoting the achievement of remote reproducibility of research results. We describe details of our aims and methods, identify current challenges, compare Bioconductor to other open bioinformatics projects, and provide working examples. Abstract The Bioconductor project is an initiative for the collaborative creation of extensible software for computational biology and bioinformatics. The goals of the project include: fostering collaborative development and widespread use of innovative software, reducing barriers to entry into interdisciplinary scientific research, and promoting the achievement of remote reproducibility of research results. We describe details of our aims and methods, identify current challenges, compare Bioconductor to other open bioinformatics projects, and provide working examples.","author":[{"dropping-particle":"","family":"Gentleman","given":"Robert C","non-dropping-particle":"","parse-names":false,"suffix":""},{"dropping-particle":"","family":"Carey","given":"Vincent J","non-dropping-particle":"","parse-names":false,"suffix":""},{"dropping-particle":"","family":"Bates","given":"Douglas M","non-dropping-particle":"","parse-names":false,"suffix":""},{"dropping-particle":"","family":"Bolstad","given":"Ben","non-dropping-particle":"","parse-names":false,"suffix":""},{"dropping-particle":"","family":"Dettling","given":"Marcel","non-dropping-particle":"","parse-names":false,"suffix":""},{"dropping-particle":"","family":"Dudoit","given":"Sandrine","non-dropping-particle":"","parse-names":false,"suffix":""},{"dropping-particle":"","family":"Ellis","given":"Byron","non-dropping-particle":"","parse-names":false,"suffix":""},{"dropping-particle":"","family":"Gautier","given":"Laurent","non-dropping-particle":"","parse-names":false,"suffix":""},{"dropping-particle":"","family":"Ge","given":"Yongchao","non-dropping-particle":"","parse-names":false,"suffix":""},{"dropping-particle":"","family":"Gentry","given":"Jeff","non-dropping-particle":"","parse-names":false,"suffix":""},{"dropping-particle":"","family":"Hornik","given":"Kurt","non-dropping-particle":"","parse-names":false,"suffix":""},{"dropping-particle":"","family":"Hothorn","given":"Torsten","non-dropping-particle":"","parse-names":false,"suffix":""},{"dropping-particle":"","family":"Huber","given":"Wolfgang","non-dropping-particle":"","parse-names":false,"suffix":""},{"dropping-particle":"","family":"Iacus","given":"Stefano","non-dropping-particle":"","parse-names":false,"suffix":""},{"dropping-particle":"","family":"Irizarry","given":"Rafael","non-dropping-particle":"","parse-names":false,"suffix":""},{"dropping-particle":"","family":"Leisch","given":"Friedrich","non-dropping-particle":"","parse-names":false,"suffix":""},{"dropping-particle":"","family":"Li","given":"Cheng","non-dropping-particle":"","parse-names":false,"suffix":""},{"dropping-particle":"","family":"Maechler","given":"Martin","non-dropping-particle":"","parse-names":false,"suffix":""},{"dropping-particle":"","family":"Rossini","given":"Anthony J","non-dropping-particle":"","parse-names":false,"suffix":""},{"dropping-particle":"","family":"Sawitzki","given":"Gunther","non-dropping-particle":"","parse-names":false,"suffix":""},{"dropping-particle":"","family":"Smith","given":"Colin","non-dropping-particle":"","parse-names":false,"suffix":""},{"dropping-particle":"","family":"Smyth","given":"Gordon","non-dropping-particle":"","parse-names":false,"suffix":""},{"dropping-particle":"","family":"Tierney","given":"Luke","non-dropping-particle":"","parse-names":false,"suffix":""},{"dropping-particle":"","family":"Yang","given":"Jean Yh","non-dropping-particle":"","parse-names":false,"suffix":""},{"dropping-particle":"","family":"Zhang","given":"Jianhua","non-dropping-particle":"","parse-names":false,"suffix":""}],"container-title":"Genome Biology","id":"ITEM-1","issue":"2","issued":{"date-parts":[["2004"]]},"note":"One of the two &amp;quot;key citations&amp;quot; to the Bioconductor project listed here:\n\nhttps://www.bioconductor.org/about/","title":"Bioconductor: open software development for computational biology and bioinformatics","type":"report","volume":"5"},"uris":["http://www.mendeley.com/documents/?uuid=014d51ac-3fae-35ef-891f-6098e5402f29"]},{"id":"ITEM-2","itemData":{"DOI":"10.1038/nmeth.3252","ISSN":"15487105","PMID":"25633503","abstract":"Bioconductor is an open-source, open-development software project for the analysis and comprehension of high-throughput data in genomics and molecular biology. The project aims to enable interdisciplinary research, collaboration and rapid development of scientific software. Based on the statistical programming language R, Bioconductor comprises 934 interoperable packages contributed by a large, diverse community of scientists. Packages cover a range of bioinformatic and statistical applications. They undergo formal initial review and continuous automated testing. We present an overview for prospective users and contributors.","author":[{"dropping-particle":"","family":"Huber","given":"Wolfgang","non-dropping-particle":"","parse-names":false,"suffix":""},{"dropping-particle":"","family":"Carey","given":"Vincent J.","non-dropping-particle":"","parse-names":false,"suffix":""},{"dropping-particle":"","family":"Gentleman","given":"Robert","non-dropping-particle":"","parse-names":false,"suffix":""},{"dropping-particle":"","family":"Anders","given":"Simon","non-dropping-particle":"","parse-names":false,"suffix":""},{"dropping-particle":"","family":"Carlson","given":"Marc","non-dropping-particle":"","parse-names":false,"suffix":""},{"dropping-particle":"","family":"Carvalho","given":"Benilton S.","non-dropping-particle":"","parse-names":false,"suffix":""},{"dropping-particle":"","family":"Bravo","given":"Hector Corrada","non-dropping-particle":"","parse-names":false,"suffix":""},{"dropping-particle":"","family":"Davis","given":"Sean","non-dropping-particle":"","parse-names":false,"suffix":""},{"dropping-particle":"","family":"Gatto","given":"Laurent","non-dropping-particle":"","parse-names":false,"suffix":""},{"dropping-particle":"","family":"Girke","given":"Thomas","non-dropping-particle":"","parse-names":false,"suffix":""},{"dropping-particle":"","family":"Gottardo","given":"Raphael","non-dropping-particle":"","parse-names":false,"suffix":""},{"dropping-particle":"","family":"Hahne","given":"Florian","non-dropping-particle":"","parse-names":false,"suffix":""},{"dropping-particle":"","family":"Hansen","given":"Kasper D.","non-dropping-particle":"","parse-names":false,"suffix":""},{"dropping-particle":"","family":"Irizarry","given":"Rafael A.","non-dropping-particle":"","parse-names":false,"suffix":""},{"dropping-particle":"","family":"Lawrence","given":"Michael","non-dropping-particle":"","parse-names":false,"suffix":""},{"dropping-particle":"","family":"Love","given":"Michael I.","non-dropping-particle":"","parse-names":false,"suffix":""},{"dropping-particle":"","family":"MaCdonald","given":"James","non-dropping-particle":"","parse-names":false,"suffix":""},{"dropping-particle":"","family":"Obenchain","given":"Valerie","non-dropping-particle":"","parse-names":false,"suffix":""},{"dropping-particle":"","family":"Oles̈","given":"Andrzej K.","non-dropping-particle":"","parse-names":false,"suffix":""},{"dropping-particle":"","family":"Pagès","given":"Hervé","non-dropping-particle":"","parse-names":false,"suffix":""},{"dropping-particle":"","family":"Reyes","given":"Alejandro","non-dropping-particle":"","parse-names":false,"suffix":""},{"dropping-particle":"","family":"Shannon","given":"Paul","non-dropping-particle":"","parse-names":false,"suffix":""},{"dropping-particle":"","family":"Smyth","given":"Gordon K.","non-dropping-particle":"","parse-names":false,"suffix":""},{"dropping-particle":"","family":"Tenenbaum","given":"Dan","non-dropping-particle":"","parse-names":false,"suffix":""},{"dropping-particle":"","family":"Waldron","given":"Levi","non-dropping-particle":"","parse-names":false,"suffix":""},{"dropping-particle":"","family":"Morgan","given":"Martin","non-dropping-particle":"","parse-names":false,"suffix":""}],"container-title":"Nature Methods","id":"ITEM-2","issue":"2","issued":{"date-parts":[["2015","1","29"]]},"note":"One of the two &amp;quot;key citations&amp;quot; to the Bioconductor project listed here:\n\nhttps://www.bioconductor.org/about/","page":"115-121","publisher":"Nature Publishing Group","title":"Orchestrating high-throughput genomic analysis with Bioconductor","type":"article-journal","volume":"12"},"uris":["http://www.mendeley.com/documents/?uuid=20976e84-4e9f-3a9a-9003-b9a861ef1c00"]}],"mendeley":{"formattedCitation":"(Gentleman &lt;i&gt;et al.&lt;/i&gt; 2004; Huber &lt;i&gt;et al.&lt;/i&gt; 2015)","plainTextFormattedCitation":"(Gentleman et al. 2004; Huber et al. 2015)","previouslyFormattedCitation":"(Gentleman &lt;i&gt;et al.&lt;/i&gt; 2004; Huber &lt;i&gt;et al.&lt;/i&gt; 2015)"},"properties":{"noteIndex":0},"schema":"https://github.com/citation-style-language/schema/raw/master/csl-citation.json"}</w:instrText>
      </w:r>
      <w:r w:rsidRPr="00694AFA">
        <w:rPr>
          <w:rFonts w:ascii="Times New Roman" w:hAnsi="Times New Roman" w:cs="Times New Roman"/>
          <w:sz w:val="24"/>
          <w:szCs w:val="24"/>
        </w:rPr>
        <w:fldChar w:fldCharType="separate"/>
      </w:r>
      <w:r w:rsidRPr="00694AFA">
        <w:rPr>
          <w:rFonts w:ascii="Times New Roman" w:hAnsi="Times New Roman" w:cs="Times New Roman"/>
          <w:noProof/>
          <w:sz w:val="24"/>
          <w:szCs w:val="24"/>
        </w:rPr>
        <w:t xml:space="preserve">(Gentleman </w:t>
      </w:r>
      <w:r w:rsidRPr="00694AFA">
        <w:rPr>
          <w:rFonts w:ascii="Times New Roman" w:hAnsi="Times New Roman" w:cs="Times New Roman"/>
          <w:i/>
          <w:noProof/>
          <w:sz w:val="24"/>
          <w:szCs w:val="24"/>
        </w:rPr>
        <w:t>et al.</w:t>
      </w:r>
      <w:r w:rsidRPr="00694AFA">
        <w:rPr>
          <w:rFonts w:ascii="Times New Roman" w:hAnsi="Times New Roman" w:cs="Times New Roman"/>
          <w:noProof/>
          <w:sz w:val="24"/>
          <w:szCs w:val="24"/>
        </w:rPr>
        <w:t xml:space="preserve"> 2004; Huber </w:t>
      </w:r>
      <w:r w:rsidRPr="00694AFA">
        <w:rPr>
          <w:rFonts w:ascii="Times New Roman" w:hAnsi="Times New Roman" w:cs="Times New Roman"/>
          <w:i/>
          <w:noProof/>
          <w:sz w:val="24"/>
          <w:szCs w:val="24"/>
        </w:rPr>
        <w:t>et al.</w:t>
      </w:r>
      <w:r w:rsidRPr="00694AFA">
        <w:rPr>
          <w:rFonts w:ascii="Times New Roman" w:hAnsi="Times New Roman" w:cs="Times New Roman"/>
          <w:noProof/>
          <w:sz w:val="24"/>
          <w:szCs w:val="24"/>
        </w:rPr>
        <w:t xml:space="preserve"> 2015)</w:t>
      </w:r>
      <w:r w:rsidRPr="00694AFA">
        <w:rPr>
          <w:rFonts w:ascii="Times New Roman" w:hAnsi="Times New Roman" w:cs="Times New Roman"/>
          <w:sz w:val="24"/>
          <w:szCs w:val="24"/>
        </w:rPr>
        <w:fldChar w:fldCharType="end"/>
      </w:r>
      <w:r w:rsidRPr="00694AFA">
        <w:rPr>
          <w:rFonts w:ascii="Times New Roman" w:hAnsi="Times New Roman" w:cs="Times New Roman"/>
          <w:sz w:val="24"/>
          <w:szCs w:val="24"/>
        </w:rPr>
        <w:t>.</w:t>
      </w:r>
      <w:r>
        <w:rPr>
          <w:rFonts w:ascii="Times New Roman" w:hAnsi="Times New Roman" w:cs="Times New Roman"/>
          <w:sz w:val="24"/>
          <w:szCs w:val="24"/>
        </w:rPr>
        <w:t xml:space="preserve"> Notably, either normalization strategy produces broadly similar results (data not </w:t>
      </w:r>
      <w:r>
        <w:rPr>
          <w:rFonts w:ascii="Times New Roman" w:hAnsi="Times New Roman" w:cs="Times New Roman"/>
          <w:sz w:val="24"/>
          <w:szCs w:val="24"/>
        </w:rPr>
        <w:lastRenderedPageBreak/>
        <w:t>shown)—we argue those produced by independent normalization are only moderately more stringently, accurately normalized.</w:t>
      </w:r>
    </w:p>
    <w:p w14:paraId="294F6B3B" w14:textId="77777777" w:rsidR="008511C8" w:rsidRPr="00694AFA" w:rsidRDefault="008511C8" w:rsidP="00455759">
      <w:pPr>
        <w:spacing w:after="0" w:line="480" w:lineRule="auto"/>
        <w:jc w:val="both"/>
        <w:rPr>
          <w:rFonts w:ascii="Times New Roman" w:hAnsi="Times New Roman" w:cs="Times New Roman"/>
          <w:b/>
          <w:bCs/>
          <w:sz w:val="24"/>
          <w:szCs w:val="24"/>
        </w:rPr>
      </w:pPr>
      <w:r w:rsidRPr="00694AFA">
        <w:rPr>
          <w:rFonts w:ascii="Times New Roman" w:hAnsi="Times New Roman" w:cs="Times New Roman"/>
          <w:b/>
          <w:bCs/>
          <w:sz w:val="24"/>
          <w:szCs w:val="24"/>
        </w:rPr>
        <w:t>RNA Sequencing Analysis—Gene Ontology</w:t>
      </w:r>
    </w:p>
    <w:p w14:paraId="66D18B8D" w14:textId="296C2FF1" w:rsidR="008511C8" w:rsidRPr="00F92116" w:rsidRDefault="008511C8" w:rsidP="00455759">
      <w:pPr>
        <w:spacing w:after="0" w:line="480" w:lineRule="auto"/>
        <w:jc w:val="both"/>
        <w:rPr>
          <w:rFonts w:ascii="Times New Roman" w:hAnsi="Times New Roman" w:cs="Times New Roman"/>
          <w:sz w:val="24"/>
          <w:szCs w:val="24"/>
        </w:rPr>
      </w:pPr>
      <w:r w:rsidRPr="00694AFA">
        <w:rPr>
          <w:rFonts w:ascii="Times New Roman" w:hAnsi="Times New Roman" w:cs="Times New Roman"/>
          <w:sz w:val="24"/>
          <w:szCs w:val="24"/>
        </w:rPr>
        <w:t xml:space="preserve">The </w:t>
      </w:r>
      <w:r w:rsidRPr="00A52ED5">
        <w:rPr>
          <w:rFonts w:ascii="Times New Roman" w:hAnsi="Times New Roman" w:cs="Times New Roman"/>
          <w:i/>
          <w:iCs/>
          <w:sz w:val="24"/>
          <w:szCs w:val="24"/>
        </w:rPr>
        <w:t>Statistical overrepresentation test</w:t>
      </w:r>
      <w:r w:rsidRPr="00694AFA">
        <w:rPr>
          <w:rFonts w:ascii="Times New Roman" w:hAnsi="Times New Roman" w:cs="Times New Roman"/>
          <w:sz w:val="24"/>
          <w:szCs w:val="24"/>
        </w:rPr>
        <w:t xml:space="preserve"> tool in the PANTHER software web interface </w:t>
      </w:r>
      <w:r w:rsidRPr="00694AFA">
        <w:rPr>
          <w:rFonts w:ascii="Times New Roman" w:hAnsi="Times New Roman" w:cs="Times New Roman"/>
          <w:sz w:val="24"/>
          <w:szCs w:val="24"/>
        </w:rPr>
        <w:fldChar w:fldCharType="begin" w:fldLock="1"/>
      </w:r>
      <w:r w:rsidRPr="00694AFA">
        <w:rPr>
          <w:rFonts w:ascii="Times New Roman" w:hAnsi="Times New Roman" w:cs="Times New Roman"/>
          <w:sz w:val="24"/>
          <w:szCs w:val="24"/>
        </w:rPr>
        <w:instrText>ADDIN CSL_CITATION {"citationItems":[{"id":"ITEM-1","itemData":{"DOI":"10.1093/nar/gky1038","abstract":"PANTHER (Protein Analysis Through Evolutionary Relationships, http://pantherdb.org) is a resource for the evolutionary and functional classification of genes from organisms across the tree of life. We report the improvements we have made to the resource during the past two years. For evolutionary classifications , we have added more prokaryotic and plant genomes to the phylogenetic gene trees, expanding the representation of gene evolution in these lin-eages. We have refined many protein family boundaries , and have aligned PANTHER with the MEROPS resource for protease and protease inhibitor families. For functional classifications, we have developed an entirely new PANTHER GO-slim, containing over four times as many Gene Ontology terms as our previous GO-slim, as well as curated associations of genes to these terms. Lastly, we have made substantial improvements to the enrichment analysis tools available on the PANTHER website: users can now analyze over 900 different genomes, using updated statistical tests with false discovery rate corrections for multiple testing. The overrepresentation test is also available as a web service, for easy addition to third-party sites.","author":[{"dropping-particle":"","family":"Mi","given":"Huaiyu","non-dropping-particle":"","parse-names":false,"suffix":""},{"dropping-particle":"","family":"Muruganujan","given":"Anushya","non-dropping-particle":"","parse-names":false,"suffix":""},{"dropping-particle":"","family":"Ebert","given":"Dustin","non-dropping-particle":"","parse-names":false,"suffix":""},{"dropping-particle":"","family":"Huang","given":"Xiaosong","non-dropping-particle":"","parse-names":false,"suffix":""},{"dropping-particle":"","family":"Thomas","given":"Paul D","non-dropping-particle":"","parse-names":false,"suffix":""}],"container-title":"Nucleic Acids Research","id":"ITEM-1","issued":{"date-parts":[["2019"]]},"page":"419-426","title":"PANTHER version 14: more genomes, a new PANTHER GO-slim and improvements in enrichment analysis tools","type":"article-journal","volume":"47"},"uris":["http://www.mendeley.com/documents/?uuid=71936ef9-7267-3fc2-b74e-1fe4c075612f"]}],"mendeley":{"formattedCitation":"(Mi &lt;i&gt;et al.&lt;/i&gt; 2019)","plainTextFormattedCitation":"(Mi et al. 2019)","previouslyFormattedCitation":"(Mi &lt;i&gt;et al.&lt;/i&gt; 2019)"},"properties":{"noteIndex":0},"schema":"https://github.com/citation-style-language/schema/raw/master/csl-citation.json"}</w:instrText>
      </w:r>
      <w:r w:rsidRPr="00694AFA">
        <w:rPr>
          <w:rFonts w:ascii="Times New Roman" w:hAnsi="Times New Roman" w:cs="Times New Roman"/>
          <w:sz w:val="24"/>
          <w:szCs w:val="24"/>
        </w:rPr>
        <w:fldChar w:fldCharType="separate"/>
      </w:r>
      <w:r w:rsidRPr="00694AFA">
        <w:rPr>
          <w:rFonts w:ascii="Times New Roman" w:hAnsi="Times New Roman" w:cs="Times New Roman"/>
          <w:noProof/>
          <w:sz w:val="24"/>
          <w:szCs w:val="24"/>
        </w:rPr>
        <w:t xml:space="preserve">(Mi </w:t>
      </w:r>
      <w:r w:rsidRPr="00694AFA">
        <w:rPr>
          <w:rFonts w:ascii="Times New Roman" w:hAnsi="Times New Roman" w:cs="Times New Roman"/>
          <w:i/>
          <w:noProof/>
          <w:sz w:val="24"/>
          <w:szCs w:val="24"/>
        </w:rPr>
        <w:t>et al.</w:t>
      </w:r>
      <w:r w:rsidRPr="00694AFA">
        <w:rPr>
          <w:rFonts w:ascii="Times New Roman" w:hAnsi="Times New Roman" w:cs="Times New Roman"/>
          <w:noProof/>
          <w:sz w:val="24"/>
          <w:szCs w:val="24"/>
        </w:rPr>
        <w:t xml:space="preserve"> 2019)</w:t>
      </w:r>
      <w:r w:rsidRPr="00694AFA">
        <w:rPr>
          <w:rFonts w:ascii="Times New Roman" w:hAnsi="Times New Roman" w:cs="Times New Roman"/>
          <w:sz w:val="24"/>
          <w:szCs w:val="24"/>
        </w:rPr>
        <w:fldChar w:fldCharType="end"/>
      </w:r>
      <w:r w:rsidRPr="00694AFA">
        <w:rPr>
          <w:rFonts w:ascii="Times New Roman" w:hAnsi="Times New Roman" w:cs="Times New Roman"/>
          <w:sz w:val="24"/>
          <w:szCs w:val="24"/>
        </w:rPr>
        <w:t xml:space="preserve"> was employed for Gene Ontology (GO) analysis </w:t>
      </w:r>
      <w:r w:rsidRPr="00694AFA">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{"citationItems":[{"id":"ITEM-1","itemData":{"DOI":"10.1038/75556","ISSN":"10614036","abstract":"Genomic sequencing has made it clear that a large fraction of the genes specifying the core biological functions are shared by all eukaryotes. Knowledge of the biological role of such shared proteins in one organism can often be transferred to other organisms. The goal of the Gene Ontology Consortium is to produce a dynamic, controlled vocabulary that can be applied to all eukaryotes even as knowledge of gene and protein roles in cells is accumulating and changing. To this end, three independent ontologies accessible on the World-Wide Web (http://www.geneontology.org) are being constructed: biological process, molecular function and cellular component.","author":[{"dropping-particle":"","family":"Ashburner","given":"Michael","non-dropping-particle":"","parse-names":false,"suffix":""},{"dropping-particle":"","family":"Ball","given":"Catherine A.","non-dropping-particle":"","parse-names":false,"suffix":""},{"dropping-particle":"","family":"Blake","given":"Judith A.","non-dropping-particle":"","parse-names":false,"suffix":""},{"dropping-particle":"","family":"Botstein","given":"David","non-dropping-particle":"","parse-names":false,"suffix":""},{"dropping-particle":"","family":"Butler","given":"Heather","non-dropping-particle":"","parse-names":false,"suffix":""},{"dropping-particle":"","family":"Cherry","given":"J. Michael","non-dropping-particle":"","parse-names":false,"suffix":""},{"dropping-particle":"","family":"Davis","given":"Allan P.","non-dropping-particle":"","parse-names":false,"suffix":""},{"dropping-particle":"","family":"Dolinski","given":"Kara","non-dropping-particle":"","parse-names":false,"suffix":""},{"dropping-particle":"","family":"Dwight","given":"Selina S.","non-dropping-particle":"","parse-names":false,"suffix":""},{"dropping-particle":"","family":"Eppig","given":"Janan T.","non-dropping-particle":"","parse-names":false,"suffix":""},{"dropping-particle":"","family":"Harris","given":"Midori A.","non-dropping-particle":"","parse-names":false,"suffix":""},{"dropping-particle":"","family":"Hill","given":"David P.","non-dropping-particle":"","parse-names":false,"suffix":""},{"dropping-particle":"","family":"Issel-Tarver","given":"Laurie","non-dropping-particle":"","parse-names":false,"suffix":""},{"dropping-particle":"","family":"Kasarskis","given":"Andrew","non-dropping-particle":"","parse-names":false,"suffix":""},{"dropping-particle":"","family":"Lewis","given":"Suzanna","non-dropping-particle":"","parse-names":false,"suffix":""},{"dropping-particle":"","family":"Matese","given":"John C.","non-dropping-particle":"","parse-names":false,"suffix":""},{"dropping-particle":"","family":"Richardson","given":"Joel E.","non-dropping-particle":"","parse-names":false,"suffix":""},{"dropping-particle":"","family":"Ringwald","given":"Martin","non-dropping-particle":"","parse-names":false,"suffix":""},{"dropping-particle":"","family":"Rubin","given":"Gerald M.","non-dropping-particle":"","parse-names":false,"suffix":""},{"dropping-particle":"","family":"Sherlock","given":"Gavin","non-dropping-particle":"","parse-names":false,"suffix":""}],"container-title":"Nature Genetics","id":"ITEM-1","issue":"1","issued":{"date-parts":[["2000","5"]]},"page":"25-29","publisher":"NIH Public Access","title":"Gene ontology: Tool for the unification of biology","type":"article","volume":"25"},"uris":["http://www.mendeley.com/documents/?uuid=a187654f-a585-3fc7-93c1-6782289048bb"]},{"id":"ITEM-2","itemData":{"DOI":"10.1093/nar/gky1055","ISSN":"0305-1048","abstract":"The Gene Ontology resource (GO; http://geneontology.org) provides structured, computable knowledge regarding the functions of genes and gene products. Founded in 1998, GO has become widely adopted in the life sciences, and its contents are under continual improvement, both in quantity and in quality. Here, we report the major developments of the GO resource during the past two years. Each monthly release of the GO resource is now packaged and given a unique identifier (DOI), enabling GO-based analyses on a specific release to be reproduced in the future. The molecular function ontology has been refactored to better represent the overall activities of gene products, with a focus on transcription regulator activities. Quality assurance efforts have been ramped up to address potentially out-of-date or inaccurate annotations. New evidence codes for high-throughput experiments now enable users to filter out annotations obtained from these sources. GO-CAM, a new framework for representing gene function that is more expressive than standard GO annotations, has been released, and users can now explore the growing repository of these models. We also provide the ‘GO ribbon’ widget for visualizing GO annotations to a gene; the widget can be easily embedded in any web page.","author":[{"dropping-particle":"","family":"The Gene Ontology Consortium","given":"","non-dropping-particle":"","parse-names":false,"suffix":""}],"container-title":"Nucleic Acids Research","id":"ITEM-2","issue":"D1","issued":{"date-parts":[["2019"]]},"note":"Lists GO terms in-text in the following format:\n‘GO:0006298 DNA mismatch repair’\n‘GO:0005524 ATP binding’","page":"D330-D338","title":"The Gene Ontology Resource: 20 years and still GOing strong","type":"article-journal","volume":"47"},"uris":["http://www.mendeley.com/documents/?uuid=12415a55-b996-43dd-bf9d-7c9a11b615fd"]}],"mendeley":{"formattedCitation":"(Ashburner &lt;i&gt;et al.&lt;/i&gt; 2000; The Gene Ontology Consortium 2019)","plainTextFormattedCitation":"(Ashburner et al. 2000; The Gene Ontology Consortium 2019)","previouslyFormattedCitation":"(Ashburner &lt;i&gt;et al.&lt;/i&gt; 2000; The Gene Ontology Consortium 2019)"},"properties":{"noteIndex":0},"schema":"https://github.com/citation-style-language/schema/raw/master/csl-citation.json"}</w:instrText>
      </w:r>
      <w:r w:rsidRPr="00694AFA">
        <w:rPr>
          <w:rFonts w:ascii="Times New Roman" w:hAnsi="Times New Roman" w:cs="Times New Roman"/>
          <w:sz w:val="24"/>
          <w:szCs w:val="24"/>
        </w:rPr>
        <w:fldChar w:fldCharType="separate"/>
      </w:r>
      <w:r w:rsidRPr="00694AFA">
        <w:rPr>
          <w:rFonts w:ascii="Times New Roman" w:hAnsi="Times New Roman" w:cs="Times New Roman"/>
          <w:noProof/>
          <w:sz w:val="24"/>
          <w:szCs w:val="24"/>
        </w:rPr>
        <w:t xml:space="preserve">(Ashburner </w:t>
      </w:r>
      <w:r w:rsidRPr="00694AFA">
        <w:rPr>
          <w:rFonts w:ascii="Times New Roman" w:hAnsi="Times New Roman" w:cs="Times New Roman"/>
          <w:i/>
          <w:noProof/>
          <w:sz w:val="24"/>
          <w:szCs w:val="24"/>
        </w:rPr>
        <w:t>et al.</w:t>
      </w:r>
      <w:r w:rsidRPr="00694AFA">
        <w:rPr>
          <w:rFonts w:ascii="Times New Roman" w:hAnsi="Times New Roman" w:cs="Times New Roman"/>
          <w:noProof/>
          <w:sz w:val="24"/>
          <w:szCs w:val="24"/>
        </w:rPr>
        <w:t xml:space="preserve"> 2000; The Gene Ontology Consortium 2019)</w:t>
      </w:r>
      <w:r w:rsidRPr="00694AFA">
        <w:rPr>
          <w:rFonts w:ascii="Times New Roman" w:hAnsi="Times New Roman" w:cs="Times New Roman"/>
          <w:sz w:val="24"/>
          <w:szCs w:val="24"/>
        </w:rPr>
        <w:fldChar w:fldCharType="end"/>
      </w:r>
      <w:r w:rsidRPr="00694AFA">
        <w:rPr>
          <w:rFonts w:ascii="Times New Roman" w:hAnsi="Times New Roman" w:cs="Times New Roman"/>
          <w:sz w:val="24"/>
          <w:szCs w:val="24"/>
        </w:rPr>
        <w:t xml:space="preserve">. </w:t>
      </w:r>
      <w:r>
        <w:rPr>
          <w:rFonts w:ascii="Times New Roman" w:hAnsi="Times New Roman" w:cs="Times New Roman"/>
          <w:iCs/>
          <w:sz w:val="24"/>
          <w:szCs w:val="24"/>
        </w:rPr>
        <w:t xml:space="preserve">Exact parameters, GO database version information, and access dates used for this analysis are </w:t>
      </w:r>
      <w:r w:rsidRPr="00D670AC">
        <w:rPr>
          <w:rFonts w:ascii="Times New Roman" w:hAnsi="Times New Roman" w:cs="Times New Roman"/>
          <w:iCs/>
          <w:sz w:val="24"/>
          <w:szCs w:val="24"/>
        </w:rPr>
        <w:t>detailed in Supplemental Table 1. For</w:t>
      </w:r>
      <w:r w:rsidRPr="00694AFA">
        <w:rPr>
          <w:rFonts w:ascii="Times New Roman" w:hAnsi="Times New Roman" w:cs="Times New Roman"/>
          <w:iCs/>
          <w:sz w:val="24"/>
          <w:szCs w:val="24"/>
        </w:rPr>
        <w:t xml:space="preserve"> PANTHER compatibility, prior to upload gene symbols were converted to </w:t>
      </w:r>
      <w:proofErr w:type="spellStart"/>
      <w:r w:rsidRPr="00694AFA">
        <w:rPr>
          <w:rFonts w:ascii="Times New Roman" w:hAnsi="Times New Roman" w:cs="Times New Roman"/>
          <w:iCs/>
          <w:sz w:val="24"/>
          <w:szCs w:val="24"/>
        </w:rPr>
        <w:t>FlyBase</w:t>
      </w:r>
      <w:proofErr w:type="spellEnd"/>
      <w:r w:rsidRPr="00694AFA">
        <w:rPr>
          <w:rFonts w:ascii="Times New Roman" w:hAnsi="Times New Roman" w:cs="Times New Roman"/>
          <w:iCs/>
          <w:sz w:val="24"/>
          <w:szCs w:val="24"/>
        </w:rPr>
        <w:t xml:space="preserve"> IDs (</w:t>
      </w:r>
      <w:proofErr w:type="spellStart"/>
      <w:r w:rsidRPr="00694AFA">
        <w:rPr>
          <w:rFonts w:ascii="Times New Roman" w:hAnsi="Times New Roman" w:cs="Times New Roman"/>
          <w:iCs/>
          <w:sz w:val="24"/>
          <w:szCs w:val="24"/>
        </w:rPr>
        <w:t>FBgnxxxxxxx</w:t>
      </w:r>
      <w:proofErr w:type="spellEnd"/>
      <w:r w:rsidRPr="00694AFA">
        <w:rPr>
          <w:rFonts w:ascii="Times New Roman" w:hAnsi="Times New Roman" w:cs="Times New Roman"/>
          <w:iCs/>
          <w:sz w:val="24"/>
          <w:szCs w:val="24"/>
        </w:rPr>
        <w:t xml:space="preserve">) using the </w:t>
      </w:r>
      <w:proofErr w:type="spellStart"/>
      <w:r w:rsidRPr="00694AFA">
        <w:rPr>
          <w:rFonts w:ascii="Times New Roman" w:hAnsi="Times New Roman" w:cs="Times New Roman"/>
          <w:iCs/>
          <w:sz w:val="24"/>
          <w:szCs w:val="24"/>
        </w:rPr>
        <w:t>Flybase</w:t>
      </w:r>
      <w:proofErr w:type="spellEnd"/>
      <w:r w:rsidRPr="00694AFA">
        <w:rPr>
          <w:rFonts w:ascii="Times New Roman" w:hAnsi="Times New Roman" w:cs="Times New Roman"/>
          <w:iCs/>
          <w:sz w:val="24"/>
          <w:szCs w:val="24"/>
        </w:rPr>
        <w:t xml:space="preserve"> ID Validator</w:t>
      </w:r>
      <w:r>
        <w:rPr>
          <w:rFonts w:ascii="Times New Roman" w:hAnsi="Times New Roman" w:cs="Times New Roman"/>
          <w:iCs/>
          <w:sz w:val="24"/>
          <w:szCs w:val="24"/>
        </w:rPr>
        <w:t xml:space="preserve"> at </w:t>
      </w:r>
      <w:r w:rsidRPr="00A24CB8">
        <w:rPr>
          <w:rFonts w:ascii="Times New Roman" w:hAnsi="Times New Roman" w:cs="Times New Roman"/>
          <w:iCs/>
          <w:sz w:val="24"/>
          <w:szCs w:val="24"/>
        </w:rPr>
        <w:t>http://flybase.org/convert/id</w:t>
      </w:r>
      <w:r w:rsidRPr="00694AFA">
        <w:rPr>
          <w:rFonts w:ascii="Times New Roman" w:hAnsi="Times New Roman" w:cs="Times New Roman"/>
          <w:iCs/>
          <w:sz w:val="24"/>
          <w:szCs w:val="24"/>
        </w:rPr>
        <w:t xml:space="preserve"> (database release FB2020_0</w:t>
      </w:r>
      <w:r>
        <w:rPr>
          <w:rFonts w:ascii="Times New Roman" w:hAnsi="Times New Roman" w:cs="Times New Roman"/>
          <w:iCs/>
          <w:sz w:val="24"/>
          <w:szCs w:val="24"/>
        </w:rPr>
        <w:t>4</w:t>
      </w:r>
      <w:r w:rsidRPr="00694AFA">
        <w:rPr>
          <w:rFonts w:ascii="Times New Roman" w:hAnsi="Times New Roman" w:cs="Times New Roman"/>
          <w:iCs/>
          <w:sz w:val="24"/>
          <w:szCs w:val="24"/>
        </w:rPr>
        <w:t>).</w:t>
      </w:r>
      <w:r w:rsidRPr="00694AFA">
        <w:rPr>
          <w:rFonts w:ascii="Times New Roman" w:hAnsi="Times New Roman" w:cs="Times New Roman"/>
          <w:sz w:val="24"/>
          <w:szCs w:val="24"/>
        </w:rPr>
        <w:t xml:space="preserve"> Critically, GO term enrichment in given gene lists was evaluated </w:t>
      </w:r>
      <w:proofErr w:type="gramStart"/>
      <w:r w:rsidRPr="00694AFA">
        <w:rPr>
          <w:rFonts w:ascii="Times New Roman" w:hAnsi="Times New Roman" w:cs="Times New Roman"/>
          <w:sz w:val="24"/>
          <w:szCs w:val="24"/>
        </w:rPr>
        <w:t>in reference to</w:t>
      </w:r>
      <w:proofErr w:type="gramEnd"/>
      <w:r w:rsidRPr="00694AFA">
        <w:rPr>
          <w:rFonts w:ascii="Times New Roman" w:hAnsi="Times New Roman" w:cs="Times New Roman"/>
          <w:sz w:val="24"/>
          <w:szCs w:val="24"/>
        </w:rPr>
        <w:t xml:space="preserve"> only the </w:t>
      </w:r>
      <w:r>
        <w:rPr>
          <w:rFonts w:ascii="Times New Roman" w:hAnsi="Times New Roman" w:cs="Times New Roman"/>
          <w:sz w:val="24"/>
          <w:szCs w:val="24"/>
        </w:rPr>
        <w:t>5,760 genes in the testable set (see</w:t>
      </w:r>
      <w:r>
        <w:rPr>
          <w:rFonts w:ascii="Times New Roman" w:hAnsi="Times New Roman" w:cs="Times New Roman"/>
          <w:b/>
          <w:bCs/>
          <w:sz w:val="24"/>
          <w:szCs w:val="24"/>
        </w:rPr>
        <w:t xml:space="preserve"> </w:t>
      </w:r>
      <w:r w:rsidRPr="00135BAB">
        <w:rPr>
          <w:rFonts w:ascii="Times New Roman" w:hAnsi="Times New Roman" w:cs="Times New Roman"/>
          <w:i/>
          <w:iCs/>
          <w:sz w:val="24"/>
          <w:szCs w:val="24"/>
        </w:rPr>
        <w:t>Materials and Methods</w:t>
      </w:r>
      <w:r w:rsidR="00135BAB">
        <w:rPr>
          <w:rFonts w:ascii="Times New Roman" w:hAnsi="Times New Roman" w:cs="Times New Roman"/>
          <w:sz w:val="24"/>
          <w:szCs w:val="24"/>
        </w:rPr>
        <w:t xml:space="preserve"> and </w:t>
      </w:r>
      <w:r w:rsidR="00135BAB">
        <w:rPr>
          <w:rFonts w:ascii="Times New Roman" w:hAnsi="Times New Roman" w:cs="Times New Roman"/>
          <w:i/>
          <w:iCs/>
          <w:sz w:val="24"/>
          <w:szCs w:val="24"/>
        </w:rPr>
        <w:t>Results</w:t>
      </w:r>
      <w:r>
        <w:rPr>
          <w:rFonts w:ascii="Times New Roman" w:hAnsi="Times New Roman" w:cs="Times New Roman"/>
          <w:sz w:val="24"/>
          <w:szCs w:val="24"/>
        </w:rPr>
        <w:t>)</w:t>
      </w:r>
      <w:r w:rsidRPr="00694AFA">
        <w:rPr>
          <w:rFonts w:ascii="Times New Roman" w:hAnsi="Times New Roman" w:cs="Times New Roman"/>
          <w:sz w:val="24"/>
          <w:szCs w:val="24"/>
        </w:rPr>
        <w:t xml:space="preserve">, not to the total 17,753 genes annotated in the BGDP6.22 release of the </w:t>
      </w:r>
      <w:r w:rsidRPr="00694AFA">
        <w:rPr>
          <w:rFonts w:ascii="Times New Roman" w:hAnsi="Times New Roman" w:cs="Times New Roman"/>
          <w:i/>
          <w:iCs/>
          <w:sz w:val="24"/>
          <w:szCs w:val="24"/>
        </w:rPr>
        <w:t>Drosophila</w:t>
      </w:r>
      <w:r w:rsidRPr="00694AFA">
        <w:rPr>
          <w:rFonts w:ascii="Times New Roman" w:hAnsi="Times New Roman" w:cs="Times New Roman"/>
          <w:sz w:val="24"/>
          <w:szCs w:val="24"/>
        </w:rPr>
        <w:t xml:space="preserve"> genome described above. This restriction controls for the effect of sample type on GO term overrepresentation testing and prevents, for example,</w:t>
      </w:r>
      <w:r w:rsidRPr="00694AFA">
        <w:rPr>
          <w:rFonts w:ascii="Times New Roman" w:hAnsi="Times New Roman" w:cs="Times New Roman"/>
          <w:i/>
          <w:iCs/>
          <w:sz w:val="24"/>
          <w:szCs w:val="24"/>
        </w:rPr>
        <w:t xml:space="preserve"> </w:t>
      </w:r>
      <w:r w:rsidRPr="00694AFA">
        <w:rPr>
          <w:rFonts w:ascii="Times New Roman" w:hAnsi="Times New Roman" w:cs="Times New Roman"/>
          <w:sz w:val="24"/>
          <w:szCs w:val="24"/>
        </w:rPr>
        <w:t xml:space="preserve">the </w:t>
      </w:r>
      <w:proofErr w:type="gramStart"/>
      <w:r w:rsidRPr="00694AFA">
        <w:rPr>
          <w:rFonts w:ascii="Times New Roman" w:hAnsi="Times New Roman" w:cs="Times New Roman"/>
          <w:sz w:val="24"/>
          <w:szCs w:val="24"/>
        </w:rPr>
        <w:t>mis-identification</w:t>
      </w:r>
      <w:proofErr w:type="gramEnd"/>
      <w:r w:rsidRPr="00694AFA">
        <w:rPr>
          <w:rFonts w:ascii="Times New Roman" w:hAnsi="Times New Roman" w:cs="Times New Roman"/>
          <w:sz w:val="24"/>
          <w:szCs w:val="24"/>
        </w:rPr>
        <w:t xml:space="preserve"> of GO terms enriched in all female </w:t>
      </w:r>
      <w:r w:rsidRPr="00694AFA">
        <w:rPr>
          <w:rFonts w:ascii="Times New Roman" w:hAnsi="Times New Roman" w:cs="Times New Roman"/>
          <w:i/>
          <w:iCs/>
          <w:sz w:val="24"/>
          <w:szCs w:val="24"/>
        </w:rPr>
        <w:t>Drosophila</w:t>
      </w:r>
      <w:r w:rsidRPr="00694AFA">
        <w:rPr>
          <w:rFonts w:ascii="Times New Roman" w:hAnsi="Times New Roman" w:cs="Times New Roman"/>
          <w:sz w:val="24"/>
          <w:szCs w:val="24"/>
        </w:rPr>
        <w:t xml:space="preserve"> heads as being enriched specifically in Nab2</w:t>
      </w:r>
      <w:r>
        <w:rPr>
          <w:rFonts w:ascii="Times New Roman" w:hAnsi="Times New Roman" w:cs="Times New Roman"/>
          <w:sz w:val="24"/>
          <w:szCs w:val="24"/>
        </w:rPr>
        <w:t>-associated</w:t>
      </w:r>
      <w:r w:rsidRPr="00694AFA">
        <w:rPr>
          <w:rFonts w:ascii="Times New Roman" w:hAnsi="Times New Roman" w:cs="Times New Roman"/>
          <w:sz w:val="24"/>
          <w:szCs w:val="24"/>
        </w:rPr>
        <w:t xml:space="preserve"> RNAs.</w:t>
      </w:r>
      <w:r>
        <w:rPr>
          <w:rFonts w:ascii="Times New Roman" w:hAnsi="Times New Roman" w:cs="Times New Roman"/>
          <w:sz w:val="24"/>
          <w:szCs w:val="24"/>
        </w:rPr>
        <w:t xml:space="preserve"> Three</w:t>
      </w:r>
      <w:r w:rsidRPr="00694AFA">
        <w:rPr>
          <w:rFonts w:ascii="Times New Roman" w:hAnsi="Times New Roman" w:cs="Times New Roman"/>
          <w:sz w:val="24"/>
          <w:szCs w:val="24"/>
        </w:rPr>
        <w:t xml:space="preserve"> gene lists were </w:t>
      </w:r>
      <w:r>
        <w:rPr>
          <w:rFonts w:ascii="Times New Roman" w:hAnsi="Times New Roman" w:cs="Times New Roman"/>
          <w:sz w:val="24"/>
          <w:szCs w:val="24"/>
        </w:rPr>
        <w:t>analyzed for GO term overrepresentation by</w:t>
      </w:r>
      <w:r w:rsidRPr="00694AFA">
        <w:rPr>
          <w:rFonts w:ascii="Times New Roman" w:hAnsi="Times New Roman" w:cs="Times New Roman"/>
          <w:sz w:val="24"/>
          <w:szCs w:val="24"/>
        </w:rPr>
        <w:t xml:space="preserve"> PANTHER</w:t>
      </w:r>
      <w:r>
        <w:rPr>
          <w:rFonts w:ascii="Times New Roman" w:hAnsi="Times New Roman" w:cs="Times New Roman"/>
          <w:sz w:val="24"/>
          <w:szCs w:val="24"/>
        </w:rPr>
        <w:t xml:space="preserve">: transcripts significantly associated with </w:t>
      </w:r>
      <w:r w:rsidRPr="00E7675B">
        <w:rPr>
          <w:rFonts w:ascii="Times New Roman" w:hAnsi="Times New Roman" w:cs="Times New Roman"/>
          <w:i/>
          <w:iCs/>
          <w:sz w:val="24"/>
          <w:szCs w:val="24"/>
        </w:rPr>
        <w:t>Both Nab2 and Atx2</w:t>
      </w:r>
      <w:r>
        <w:rPr>
          <w:rFonts w:ascii="Times New Roman" w:hAnsi="Times New Roman" w:cs="Times New Roman"/>
          <w:sz w:val="24"/>
          <w:szCs w:val="24"/>
        </w:rPr>
        <w:t xml:space="preserve"> (28), </w:t>
      </w:r>
      <w:r>
        <w:rPr>
          <w:rFonts w:ascii="Times New Roman" w:hAnsi="Times New Roman" w:cs="Times New Roman"/>
          <w:i/>
          <w:iCs/>
          <w:sz w:val="24"/>
          <w:szCs w:val="24"/>
        </w:rPr>
        <w:t>Only Nab2</w:t>
      </w:r>
      <w:r>
        <w:rPr>
          <w:rFonts w:ascii="Times New Roman" w:hAnsi="Times New Roman" w:cs="Times New Roman"/>
          <w:sz w:val="24"/>
          <w:szCs w:val="24"/>
        </w:rPr>
        <w:t xml:space="preserve"> (113), and </w:t>
      </w:r>
      <w:r>
        <w:rPr>
          <w:rFonts w:ascii="Times New Roman" w:hAnsi="Times New Roman" w:cs="Times New Roman"/>
          <w:i/>
          <w:iCs/>
          <w:sz w:val="24"/>
          <w:szCs w:val="24"/>
        </w:rPr>
        <w:t>Only Atx2</w:t>
      </w:r>
      <w:r>
        <w:rPr>
          <w:rFonts w:ascii="Times New Roman" w:hAnsi="Times New Roman" w:cs="Times New Roman"/>
          <w:sz w:val="24"/>
          <w:szCs w:val="24"/>
        </w:rPr>
        <w:t xml:space="preserve"> (75).</w:t>
      </w:r>
      <w:r w:rsidRPr="00694AFA">
        <w:rPr>
          <w:rFonts w:ascii="Times New Roman" w:hAnsi="Times New Roman" w:cs="Times New Roman"/>
          <w:sz w:val="24"/>
          <w:szCs w:val="24"/>
        </w:rPr>
        <w:t xml:space="preserve">  </w:t>
      </w:r>
      <w:r>
        <w:rPr>
          <w:rFonts w:ascii="Times New Roman" w:hAnsi="Times New Roman" w:cs="Times New Roman"/>
          <w:sz w:val="24"/>
          <w:szCs w:val="24"/>
        </w:rPr>
        <w:t>On a technical note, 134 genes in the testable</w:t>
      </w:r>
      <w:r w:rsidRPr="00694AFA">
        <w:rPr>
          <w:rFonts w:ascii="Times New Roman" w:hAnsi="Times New Roman" w:cs="Times New Roman"/>
          <w:sz w:val="24"/>
          <w:szCs w:val="24"/>
        </w:rPr>
        <w:t xml:space="preserve"> </w:t>
      </w:r>
      <w:r>
        <w:rPr>
          <w:rFonts w:ascii="Times New Roman" w:hAnsi="Times New Roman" w:cs="Times New Roman"/>
          <w:sz w:val="24"/>
          <w:szCs w:val="24"/>
        </w:rPr>
        <w:t xml:space="preserve">set, along with 5, 7, and 3 genes included in the </w:t>
      </w:r>
      <w:r>
        <w:rPr>
          <w:rFonts w:ascii="Times New Roman" w:hAnsi="Times New Roman" w:cs="Times New Roman"/>
          <w:i/>
          <w:iCs/>
          <w:sz w:val="24"/>
          <w:szCs w:val="24"/>
        </w:rPr>
        <w:t>Both Nab2 and Atx2</w:t>
      </w:r>
      <w:r>
        <w:rPr>
          <w:rFonts w:ascii="Times New Roman" w:hAnsi="Times New Roman" w:cs="Times New Roman"/>
          <w:sz w:val="24"/>
          <w:szCs w:val="24"/>
        </w:rPr>
        <w:t xml:space="preserve">, </w:t>
      </w:r>
      <w:r>
        <w:rPr>
          <w:rFonts w:ascii="Times New Roman" w:hAnsi="Times New Roman" w:cs="Times New Roman"/>
          <w:i/>
          <w:iCs/>
          <w:sz w:val="24"/>
          <w:szCs w:val="24"/>
        </w:rPr>
        <w:t>Only Nab2</w:t>
      </w:r>
      <w:r>
        <w:rPr>
          <w:rFonts w:ascii="Times New Roman" w:hAnsi="Times New Roman" w:cs="Times New Roman"/>
          <w:sz w:val="24"/>
          <w:szCs w:val="24"/>
        </w:rPr>
        <w:t xml:space="preserve">, and </w:t>
      </w:r>
      <w:r>
        <w:rPr>
          <w:rFonts w:ascii="Times New Roman" w:hAnsi="Times New Roman" w:cs="Times New Roman"/>
          <w:i/>
          <w:iCs/>
          <w:sz w:val="24"/>
          <w:szCs w:val="24"/>
        </w:rPr>
        <w:t>Only Atx2</w:t>
      </w:r>
      <w:r>
        <w:rPr>
          <w:rFonts w:ascii="Times New Roman" w:hAnsi="Times New Roman" w:cs="Times New Roman"/>
          <w:sz w:val="24"/>
          <w:szCs w:val="24"/>
        </w:rPr>
        <w:t xml:space="preserve"> sets, respectively, are not </w:t>
      </w:r>
      <w:r w:rsidRPr="00694AFA">
        <w:rPr>
          <w:rFonts w:ascii="Times New Roman" w:hAnsi="Times New Roman" w:cs="Times New Roman"/>
          <w:sz w:val="24"/>
          <w:szCs w:val="24"/>
        </w:rPr>
        <w:t>protein-coding genes</w:t>
      </w:r>
      <w:r>
        <w:rPr>
          <w:rFonts w:ascii="Times New Roman" w:hAnsi="Times New Roman" w:cs="Times New Roman"/>
          <w:sz w:val="24"/>
          <w:szCs w:val="24"/>
        </w:rPr>
        <w:t xml:space="preserve"> or are otherwise unannotated in the PANTHER database and were thus automatically excluded by PANTHER from these GO analyses and related enrichment calculations.</w:t>
      </w:r>
    </w:p>
    <w:p w14:paraId="0FE38741" w14:textId="7B4E67C2" w:rsidR="008511C8" w:rsidRDefault="008511C8" w:rsidP="00455759">
      <w:pPr>
        <w:spacing w:after="0" w:line="480" w:lineRule="auto"/>
        <w:ind w:firstLine="720"/>
        <w:jc w:val="both"/>
        <w:rPr>
          <w:rFonts w:ascii="Times New Roman" w:hAnsi="Times New Roman" w:cs="Times New Roman"/>
          <w:sz w:val="24"/>
          <w:szCs w:val="24"/>
        </w:rPr>
      </w:pPr>
      <w:r w:rsidRPr="00694AFA">
        <w:rPr>
          <w:rFonts w:ascii="Times New Roman" w:hAnsi="Times New Roman" w:cs="Times New Roman"/>
          <w:sz w:val="24"/>
          <w:szCs w:val="24"/>
        </w:rPr>
        <w:t xml:space="preserve">For </w:t>
      </w:r>
      <w:r>
        <w:rPr>
          <w:rFonts w:ascii="Times New Roman" w:hAnsi="Times New Roman" w:cs="Times New Roman"/>
          <w:sz w:val="24"/>
          <w:szCs w:val="24"/>
        </w:rPr>
        <w:t>each transcript set</w:t>
      </w:r>
      <w:r w:rsidRPr="00694AFA">
        <w:rPr>
          <w:rFonts w:ascii="Times New Roman" w:hAnsi="Times New Roman" w:cs="Times New Roman"/>
          <w:sz w:val="24"/>
          <w:szCs w:val="24"/>
        </w:rPr>
        <w:t xml:space="preserve">, analyses were conducted separately for each of the three top-level GO domains—molecular function, biological process, and cellular component—using the PANTHER “complete” GO term sets. For each gene list, overrepresented GO terms (nominal </w:t>
      </w:r>
      <w:r w:rsidRPr="00694AFA">
        <w:rPr>
          <w:rFonts w:ascii="Times New Roman" w:hAnsi="Times New Roman" w:cs="Times New Roman"/>
          <w:i/>
          <w:iCs/>
          <w:sz w:val="24"/>
          <w:szCs w:val="24"/>
        </w:rPr>
        <w:t>p</w:t>
      </w:r>
      <w:r w:rsidRPr="00694AFA">
        <w:rPr>
          <w:rFonts w:ascii="Times New Roman" w:hAnsi="Times New Roman" w:cs="Times New Roman"/>
          <w:sz w:val="24"/>
          <w:szCs w:val="24"/>
        </w:rPr>
        <w:t xml:space="preserve">-value&lt;0.05) were identified and, to avoid redundancy and increase explanatory power, were filtered through a process of </w:t>
      </w:r>
      <w:r w:rsidRPr="00694AFA">
        <w:rPr>
          <w:rFonts w:ascii="Times New Roman" w:hAnsi="Times New Roman" w:cs="Times New Roman"/>
          <w:sz w:val="24"/>
          <w:szCs w:val="24"/>
        </w:rPr>
        <w:lastRenderedPageBreak/>
        <w:t>“Hierarchical Selection” to identify the top 3 or 6 “independent” GO terms. First, overrepresented terms were sorted hierarchically by PANTHER. That is, less specific parent terms in the GO hierarchy (</w:t>
      </w:r>
      <w:proofErr w:type="gramStart"/>
      <w:r w:rsidRPr="00694AFA">
        <w:rPr>
          <w:rFonts w:ascii="Times New Roman" w:hAnsi="Times New Roman" w:cs="Times New Roman"/>
          <w:sz w:val="24"/>
          <w:szCs w:val="24"/>
        </w:rPr>
        <w:t>e.g.</w:t>
      </w:r>
      <w:proofErr w:type="gramEnd"/>
      <w:r w:rsidRPr="00694AFA">
        <w:rPr>
          <w:rFonts w:ascii="Times New Roman" w:hAnsi="Times New Roman" w:cs="Times New Roman"/>
          <w:sz w:val="24"/>
          <w:szCs w:val="24"/>
        </w:rPr>
        <w:t xml:space="preserve"> “regulation of nervous system process”) were grouped with their more specific child terms (e.g. “negative regulation of neuronal action potential”), and the resulting term families were rank-ordered by the fold enrichment of their most specific child term. Then, for each term family, the most specific term with at least two members in the given </w:t>
      </w:r>
      <w:r>
        <w:rPr>
          <w:rFonts w:ascii="Times New Roman" w:hAnsi="Times New Roman" w:cs="Times New Roman"/>
          <w:sz w:val="24"/>
          <w:szCs w:val="24"/>
        </w:rPr>
        <w:t>RBP-associated transcript</w:t>
      </w:r>
      <w:r w:rsidRPr="00694AFA">
        <w:rPr>
          <w:rFonts w:ascii="Times New Roman" w:hAnsi="Times New Roman" w:cs="Times New Roman"/>
          <w:sz w:val="24"/>
          <w:szCs w:val="24"/>
        </w:rPr>
        <w:t xml:space="preserve"> list was kept; the remaining terms in each family were discarded. Within-family ties for term specificity in the GO hierarchy were resolved with fold enrichment, keeping only the most enriched term of each tie. The remaining GO terms were re-ordered by fold enrichment, and the top 3 or 6 were reported in the bar graphs </w:t>
      </w:r>
      <w:r w:rsidRPr="003A2166">
        <w:rPr>
          <w:rFonts w:ascii="Times New Roman" w:hAnsi="Times New Roman" w:cs="Times New Roman"/>
          <w:sz w:val="24"/>
          <w:szCs w:val="24"/>
        </w:rPr>
        <w:t xml:space="preserve">presented here. </w:t>
      </w:r>
      <w:r>
        <w:rPr>
          <w:rFonts w:ascii="Times New Roman" w:hAnsi="Times New Roman" w:cs="Times New Roman"/>
          <w:sz w:val="24"/>
          <w:szCs w:val="24"/>
        </w:rPr>
        <w:t>GO term accession numbers and additional term information</w:t>
      </w:r>
      <w:r w:rsidRPr="003A2166">
        <w:rPr>
          <w:rFonts w:ascii="Times New Roman" w:hAnsi="Times New Roman" w:cs="Times New Roman"/>
          <w:sz w:val="24"/>
          <w:szCs w:val="24"/>
        </w:rPr>
        <w:t xml:space="preserve"> </w:t>
      </w:r>
      <w:r>
        <w:rPr>
          <w:rFonts w:ascii="Times New Roman" w:hAnsi="Times New Roman" w:cs="Times New Roman"/>
          <w:sz w:val="24"/>
          <w:szCs w:val="24"/>
        </w:rPr>
        <w:t>were obtained as necessary from</w:t>
      </w:r>
      <w:r w:rsidRPr="003A2166">
        <w:rPr>
          <w:rFonts w:ascii="Times New Roman" w:hAnsi="Times New Roman" w:cs="Times New Roman"/>
          <w:sz w:val="24"/>
          <w:szCs w:val="24"/>
        </w:rPr>
        <w:t xml:space="preserve"> the </w:t>
      </w:r>
      <w:proofErr w:type="spellStart"/>
      <w:r w:rsidRPr="003A2166">
        <w:rPr>
          <w:rFonts w:ascii="Times New Roman" w:hAnsi="Times New Roman" w:cs="Times New Roman"/>
          <w:sz w:val="24"/>
          <w:szCs w:val="24"/>
        </w:rPr>
        <w:t>AmiGO</w:t>
      </w:r>
      <w:proofErr w:type="spellEnd"/>
      <w:r w:rsidRPr="003A2166">
        <w:rPr>
          <w:rFonts w:ascii="Times New Roman" w:hAnsi="Times New Roman" w:cs="Times New Roman"/>
          <w:sz w:val="24"/>
          <w:szCs w:val="24"/>
        </w:rPr>
        <w:t xml:space="preserve"> 2 GO database web tool </w:t>
      </w:r>
      <w:r w:rsidRPr="003A2166">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{"citationItems":[{"id":"ITEM-1","itemData":{"DOI":"10.1093/bioinformatics/btn615","abstract":"AmiGO is a web application that allows users to query, browse and visualize ontologies and related gene product annotation (association) data. AmiGO can be used online at the Gene Ontology (GO) website to access the data provided by the GO Consortium 1 ; it can also be downloaded and installed to browse local ontologies and annotations. 2 AmiGO is free open source software developed and maintained by the GO Consortium. Availability: http://amigo.geneontology.org Download: http:// sourceforge.net/projects/geneontology/ Contact: sjcarbon@berkeleybop.org","author":[{"dropping-particle":"","family":"Carbon","given":"Seth","non-dropping-particle":"","parse-names":false,"suffix":""},{"dropping-particle":"","family":"Ireland","given":"Amelia","non-dropping-particle":"","parse-names":false,"suffix":""},{"dropping-particle":"","family":"Mungall","given":"Christopher J","non-dropping-particle":"","parse-names":false,"suffix":""},{"dropping-particle":"","family":"Shu","given":"ShengQiang","non-dropping-particle":"","parse-names":false,"suffix":""},{"dropping-particle":"","family":"Marshall","given":"Brad","non-dropping-particle":"","parse-names":false,"suffix":""},{"dropping-particle":"","family":"Lewis","given":"Suzanna","non-dropping-particle":"","parse-names":false,"suffix":""},{"dropping-particle":"","family":"the AmiGO Hub","given":"","non-dropping-particle":"","parse-names":false,"suffix":""},{"dropping-particle":"","family":"the Web Presence Working Group","given":"","non-dropping-particle":"","parse-names":false,"suffix":""}],"container-title":"BIOINFORMATICS","id":"ITEM-1","issue":"2","issued":{"date-parts":[["2009"]]},"page":"288-289","title":"AmiGO: online access to ontology and annotation data","type":"article-journal","volume":"25"},"uris":["http://www.mendeley.com/documents/?uuid=f4980c08-f829-3536-94c8-db0151f886e7","http://www.mendeley.com/documents/?uuid=a378282f-d529-4ae6-8b66-66a1ef8009cf"]}],"mendeley":{"formattedCitation":"(Carbon &lt;i&gt;et al.&lt;/i&gt; 2009)","plainTextFormattedCitation":"(Carbon et al. 2009)","previouslyFormattedCitation":"(Carbon &lt;i&gt;et al.&lt;/i&gt; 2009)"},"properties":{"noteIndex":0},"schema":"https://github.com/citation-style-language/schema/raw/master/csl-citation.json"}</w:instrText>
      </w:r>
      <w:r w:rsidRPr="003A2166">
        <w:rPr>
          <w:rFonts w:ascii="Times New Roman" w:hAnsi="Times New Roman" w:cs="Times New Roman"/>
          <w:sz w:val="24"/>
          <w:szCs w:val="24"/>
        </w:rPr>
        <w:fldChar w:fldCharType="separate"/>
      </w:r>
      <w:r w:rsidRPr="00997A3D">
        <w:rPr>
          <w:rFonts w:ascii="Times New Roman" w:hAnsi="Times New Roman" w:cs="Times New Roman"/>
          <w:noProof/>
          <w:sz w:val="24"/>
          <w:szCs w:val="24"/>
        </w:rPr>
        <w:t xml:space="preserve">(Carbon </w:t>
      </w:r>
      <w:r w:rsidRPr="00997A3D">
        <w:rPr>
          <w:rFonts w:ascii="Times New Roman" w:hAnsi="Times New Roman" w:cs="Times New Roman"/>
          <w:i/>
          <w:noProof/>
          <w:sz w:val="24"/>
          <w:szCs w:val="24"/>
        </w:rPr>
        <w:t>et al.</w:t>
      </w:r>
      <w:r w:rsidRPr="00997A3D">
        <w:rPr>
          <w:rFonts w:ascii="Times New Roman" w:hAnsi="Times New Roman" w:cs="Times New Roman"/>
          <w:noProof/>
          <w:sz w:val="24"/>
          <w:szCs w:val="24"/>
        </w:rPr>
        <w:t xml:space="preserve"> 2009)</w:t>
      </w:r>
      <w:r w:rsidRPr="003A2166">
        <w:rPr>
          <w:rFonts w:ascii="Times New Roman" w:hAnsi="Times New Roman" w:cs="Times New Roman"/>
          <w:sz w:val="24"/>
          <w:szCs w:val="24"/>
        </w:rPr>
        <w:fldChar w:fldCharType="end"/>
      </w:r>
      <w:r w:rsidRPr="003A2166">
        <w:rPr>
          <w:rFonts w:ascii="Times New Roman" w:hAnsi="Times New Roman" w:cs="Times New Roman"/>
          <w:sz w:val="24"/>
          <w:szCs w:val="24"/>
        </w:rPr>
        <w:t>.</w:t>
      </w:r>
    </w:p>
    <w:p w14:paraId="09EF88C6" w14:textId="455EBAD1" w:rsidR="007C7D73" w:rsidRDefault="007C7D73">
      <w:pPr>
        <w:rPr>
          <w:rFonts w:ascii="Times New Roman" w:hAnsi="Times New Roman" w:cs="Times New Roman"/>
          <w:sz w:val="24"/>
          <w:szCs w:val="24"/>
        </w:rPr>
      </w:pPr>
      <w:r>
        <w:rPr>
          <w:rFonts w:ascii="Times New Roman" w:hAnsi="Times New Roman" w:cs="Times New Roman"/>
          <w:sz w:val="24"/>
          <w:szCs w:val="24"/>
        </w:rPr>
        <w:br w:type="page"/>
      </w:r>
    </w:p>
    <w:p w14:paraId="5E31C82E" w14:textId="787AF5B5" w:rsidR="007C7D73" w:rsidRDefault="007C7D73" w:rsidP="007C7D73">
      <w:pPr>
        <w:jc w:val="both"/>
        <w:rPr>
          <w:rFonts w:ascii="Times New Roman" w:hAnsi="Times New Roman" w:cs="Times New Roman"/>
          <w:b/>
          <w:bCs/>
          <w:sz w:val="24"/>
          <w:szCs w:val="24"/>
        </w:rPr>
      </w:pPr>
      <w:r>
        <w:rPr>
          <w:rFonts w:ascii="Times New Roman" w:hAnsi="Times New Roman" w:cs="Times New Roman"/>
          <w:b/>
          <w:bCs/>
          <w:sz w:val="24"/>
          <w:szCs w:val="24"/>
        </w:rPr>
        <w:lastRenderedPageBreak/>
        <w:t>Literature Cited in Supplemental Materials and Methods</w:t>
      </w:r>
    </w:p>
    <w:p w14:paraId="096FA515" w14:textId="73A0017C" w:rsidR="007C7D73" w:rsidRPr="007C7D73" w:rsidRDefault="007C7D73" w:rsidP="007C7D73">
      <w:pPr>
        <w:widowControl w:val="0"/>
        <w:autoSpaceDE w:val="0"/>
        <w:autoSpaceDN w:val="0"/>
        <w:adjustRightInd w:val="0"/>
        <w:spacing w:line="240" w:lineRule="auto"/>
        <w:ind w:left="475" w:hanging="475"/>
        <w:jc w:val="both"/>
        <w:rPr>
          <w:rFonts w:ascii="Times New Roman" w:hAnsi="Times New Roman" w:cs="Times New Roman"/>
          <w:noProof/>
          <w:sz w:val="24"/>
          <w:szCs w:val="24"/>
        </w:rPr>
      </w:pPr>
      <w:r>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 xml:space="preserve">ADDIN Mendeley Bibliography CSL_BIBLIOGRAPHY </w:instrText>
      </w:r>
      <w:r>
        <w:rPr>
          <w:rFonts w:ascii="Times New Roman" w:hAnsi="Times New Roman" w:cs="Times New Roman"/>
          <w:b/>
          <w:bCs/>
          <w:sz w:val="24"/>
          <w:szCs w:val="24"/>
        </w:rPr>
        <w:fldChar w:fldCharType="separate"/>
      </w:r>
      <w:r w:rsidRPr="007C7D73">
        <w:rPr>
          <w:rFonts w:ascii="Times New Roman" w:hAnsi="Times New Roman" w:cs="Times New Roman"/>
          <w:noProof/>
          <w:sz w:val="24"/>
          <w:szCs w:val="24"/>
        </w:rPr>
        <w:t>Anders S., and W. Huber, 2010 Differential expression analysis for sequence count data. Genome Biol. 11: R106. https://doi.org/10.1186/gb-2010-11-10-r106</w:t>
      </w:r>
    </w:p>
    <w:p w14:paraId="1B1CBBDF" w14:textId="77777777" w:rsidR="007C7D73" w:rsidRPr="007C7D73" w:rsidRDefault="007C7D73" w:rsidP="007C7D73">
      <w:pPr>
        <w:widowControl w:val="0"/>
        <w:autoSpaceDE w:val="0"/>
        <w:autoSpaceDN w:val="0"/>
        <w:adjustRightInd w:val="0"/>
        <w:spacing w:line="240" w:lineRule="auto"/>
        <w:ind w:left="475" w:hanging="475"/>
        <w:jc w:val="both"/>
        <w:rPr>
          <w:rFonts w:ascii="Times New Roman" w:hAnsi="Times New Roman" w:cs="Times New Roman"/>
          <w:noProof/>
          <w:sz w:val="24"/>
          <w:szCs w:val="24"/>
        </w:rPr>
      </w:pPr>
      <w:r w:rsidRPr="007C7D73">
        <w:rPr>
          <w:rFonts w:ascii="Times New Roman" w:hAnsi="Times New Roman" w:cs="Times New Roman"/>
          <w:noProof/>
          <w:sz w:val="24"/>
          <w:szCs w:val="24"/>
        </w:rPr>
        <w:t>Anders S., A. Reyes, and W. Huber, 2012 Detecting differential usage of exons from RNA-seq data. Genome Res. 22: 2008–2017. https://doi.org/10.1101/gr.133744.111</w:t>
      </w:r>
    </w:p>
    <w:p w14:paraId="3860180E" w14:textId="77777777" w:rsidR="007C7D73" w:rsidRPr="007C7D73" w:rsidRDefault="007C7D73" w:rsidP="007C7D73">
      <w:pPr>
        <w:widowControl w:val="0"/>
        <w:autoSpaceDE w:val="0"/>
        <w:autoSpaceDN w:val="0"/>
        <w:adjustRightInd w:val="0"/>
        <w:spacing w:line="240" w:lineRule="auto"/>
        <w:ind w:left="475" w:hanging="475"/>
        <w:jc w:val="both"/>
        <w:rPr>
          <w:rFonts w:ascii="Times New Roman" w:hAnsi="Times New Roman" w:cs="Times New Roman"/>
          <w:noProof/>
          <w:sz w:val="24"/>
          <w:szCs w:val="24"/>
        </w:rPr>
      </w:pPr>
      <w:r w:rsidRPr="007C7D73">
        <w:rPr>
          <w:rFonts w:ascii="Times New Roman" w:hAnsi="Times New Roman" w:cs="Times New Roman"/>
          <w:noProof/>
          <w:sz w:val="24"/>
          <w:szCs w:val="24"/>
        </w:rPr>
        <w:t xml:space="preserve">Ashburner M., C. A. Ball, J. A. Blake, D. Botstein, H. Butler, </w:t>
      </w:r>
      <w:r w:rsidRPr="007C7D73">
        <w:rPr>
          <w:rFonts w:ascii="Times New Roman" w:hAnsi="Times New Roman" w:cs="Times New Roman"/>
          <w:i/>
          <w:iCs/>
          <w:noProof/>
          <w:sz w:val="24"/>
          <w:szCs w:val="24"/>
        </w:rPr>
        <w:t>et al.</w:t>
      </w:r>
      <w:r w:rsidRPr="007C7D73">
        <w:rPr>
          <w:rFonts w:ascii="Times New Roman" w:hAnsi="Times New Roman" w:cs="Times New Roman"/>
          <w:noProof/>
          <w:sz w:val="24"/>
          <w:szCs w:val="24"/>
        </w:rPr>
        <w:t>, 2000 Gene ontology: Tool for the unification of biology. Nat. Genet. 25: 25–29.</w:t>
      </w:r>
    </w:p>
    <w:p w14:paraId="598793D9" w14:textId="77777777" w:rsidR="007C7D73" w:rsidRPr="007C7D73" w:rsidRDefault="007C7D73" w:rsidP="007C7D73">
      <w:pPr>
        <w:widowControl w:val="0"/>
        <w:autoSpaceDE w:val="0"/>
        <w:autoSpaceDN w:val="0"/>
        <w:adjustRightInd w:val="0"/>
        <w:spacing w:line="240" w:lineRule="auto"/>
        <w:ind w:left="475" w:hanging="475"/>
        <w:jc w:val="both"/>
        <w:rPr>
          <w:rFonts w:ascii="Times New Roman" w:hAnsi="Times New Roman" w:cs="Times New Roman"/>
          <w:noProof/>
          <w:sz w:val="24"/>
          <w:szCs w:val="24"/>
        </w:rPr>
      </w:pPr>
      <w:r w:rsidRPr="007C7D73">
        <w:rPr>
          <w:rFonts w:ascii="Times New Roman" w:hAnsi="Times New Roman" w:cs="Times New Roman"/>
          <w:noProof/>
          <w:sz w:val="24"/>
          <w:szCs w:val="24"/>
        </w:rPr>
        <w:t xml:space="preserve">Carbon S., A. Ireland, C. J. Mungall, S. Shu, B. Marshall, </w:t>
      </w:r>
      <w:r w:rsidRPr="007C7D73">
        <w:rPr>
          <w:rFonts w:ascii="Times New Roman" w:hAnsi="Times New Roman" w:cs="Times New Roman"/>
          <w:i/>
          <w:iCs/>
          <w:noProof/>
          <w:sz w:val="24"/>
          <w:szCs w:val="24"/>
        </w:rPr>
        <w:t>et al.</w:t>
      </w:r>
      <w:r w:rsidRPr="007C7D73">
        <w:rPr>
          <w:rFonts w:ascii="Times New Roman" w:hAnsi="Times New Roman" w:cs="Times New Roman"/>
          <w:noProof/>
          <w:sz w:val="24"/>
          <w:szCs w:val="24"/>
        </w:rPr>
        <w:t>, 2009 AmiGO: online access to ontology and annotation data. BIOINFORMATICS 25: 288–289. https://doi.org/10.1093/bioinformatics/btn615</w:t>
      </w:r>
    </w:p>
    <w:p w14:paraId="413FBF9A" w14:textId="77777777" w:rsidR="007C7D73" w:rsidRPr="007C7D73" w:rsidRDefault="007C7D73" w:rsidP="007C7D73">
      <w:pPr>
        <w:widowControl w:val="0"/>
        <w:autoSpaceDE w:val="0"/>
        <w:autoSpaceDN w:val="0"/>
        <w:adjustRightInd w:val="0"/>
        <w:spacing w:line="240" w:lineRule="auto"/>
        <w:ind w:left="475" w:hanging="475"/>
        <w:jc w:val="both"/>
        <w:rPr>
          <w:rFonts w:ascii="Times New Roman" w:hAnsi="Times New Roman" w:cs="Times New Roman"/>
          <w:noProof/>
          <w:sz w:val="24"/>
          <w:szCs w:val="24"/>
        </w:rPr>
      </w:pPr>
      <w:r w:rsidRPr="007C7D73">
        <w:rPr>
          <w:rFonts w:ascii="Times New Roman" w:hAnsi="Times New Roman" w:cs="Times New Roman"/>
          <w:noProof/>
          <w:sz w:val="24"/>
          <w:szCs w:val="24"/>
        </w:rPr>
        <w:t>Chow E., 2015 How to separate Drosophila heads &amp; bodies in bulk - YouTube</w:t>
      </w:r>
    </w:p>
    <w:p w14:paraId="45A653A2" w14:textId="77777777" w:rsidR="007C7D73" w:rsidRPr="007C7D73" w:rsidRDefault="007C7D73" w:rsidP="007C7D73">
      <w:pPr>
        <w:widowControl w:val="0"/>
        <w:autoSpaceDE w:val="0"/>
        <w:autoSpaceDN w:val="0"/>
        <w:adjustRightInd w:val="0"/>
        <w:spacing w:line="240" w:lineRule="auto"/>
        <w:ind w:left="475" w:hanging="475"/>
        <w:jc w:val="both"/>
        <w:rPr>
          <w:rFonts w:ascii="Times New Roman" w:hAnsi="Times New Roman" w:cs="Times New Roman"/>
          <w:noProof/>
          <w:sz w:val="24"/>
          <w:szCs w:val="24"/>
        </w:rPr>
      </w:pPr>
      <w:r w:rsidRPr="007C7D73">
        <w:rPr>
          <w:rFonts w:ascii="Times New Roman" w:hAnsi="Times New Roman" w:cs="Times New Roman"/>
          <w:noProof/>
          <w:sz w:val="24"/>
          <w:szCs w:val="24"/>
        </w:rPr>
        <w:t xml:space="preserve">Gentleman R. C., V. J. Carey, D. M. Bates, B. Bolstad, M. Dettling, </w:t>
      </w:r>
      <w:r w:rsidRPr="007C7D73">
        <w:rPr>
          <w:rFonts w:ascii="Times New Roman" w:hAnsi="Times New Roman" w:cs="Times New Roman"/>
          <w:i/>
          <w:iCs/>
          <w:noProof/>
          <w:sz w:val="24"/>
          <w:szCs w:val="24"/>
        </w:rPr>
        <w:t>et al.</w:t>
      </w:r>
      <w:r w:rsidRPr="007C7D73">
        <w:rPr>
          <w:rFonts w:ascii="Times New Roman" w:hAnsi="Times New Roman" w:cs="Times New Roman"/>
          <w:noProof/>
          <w:sz w:val="24"/>
          <w:szCs w:val="24"/>
        </w:rPr>
        <w:t xml:space="preserve">, 2004 </w:t>
      </w:r>
      <w:r w:rsidRPr="007C7D73">
        <w:rPr>
          <w:rFonts w:ascii="Times New Roman" w:hAnsi="Times New Roman" w:cs="Times New Roman"/>
          <w:i/>
          <w:iCs/>
          <w:noProof/>
          <w:sz w:val="24"/>
          <w:szCs w:val="24"/>
        </w:rPr>
        <w:t>Bioconductor: open software development for computational biology and bioinformatics</w:t>
      </w:r>
      <w:r w:rsidRPr="007C7D73">
        <w:rPr>
          <w:rFonts w:ascii="Times New Roman" w:hAnsi="Times New Roman" w:cs="Times New Roman"/>
          <w:noProof/>
          <w:sz w:val="24"/>
          <w:szCs w:val="24"/>
        </w:rPr>
        <w:t>.</w:t>
      </w:r>
    </w:p>
    <w:p w14:paraId="18E33BC8" w14:textId="77777777" w:rsidR="007C7D73" w:rsidRPr="007C7D73" w:rsidRDefault="007C7D73" w:rsidP="007C7D73">
      <w:pPr>
        <w:widowControl w:val="0"/>
        <w:autoSpaceDE w:val="0"/>
        <w:autoSpaceDN w:val="0"/>
        <w:adjustRightInd w:val="0"/>
        <w:spacing w:line="240" w:lineRule="auto"/>
        <w:ind w:left="475" w:hanging="475"/>
        <w:jc w:val="both"/>
        <w:rPr>
          <w:rFonts w:ascii="Times New Roman" w:hAnsi="Times New Roman" w:cs="Times New Roman"/>
          <w:noProof/>
          <w:sz w:val="24"/>
          <w:szCs w:val="24"/>
        </w:rPr>
      </w:pPr>
      <w:r w:rsidRPr="007C7D73">
        <w:rPr>
          <w:rFonts w:ascii="Times New Roman" w:hAnsi="Times New Roman" w:cs="Times New Roman"/>
          <w:noProof/>
          <w:sz w:val="24"/>
          <w:szCs w:val="24"/>
        </w:rPr>
        <w:t xml:space="preserve">Huber W., V. J. Carey, R. Gentleman, S. Anders, M. Carlson, </w:t>
      </w:r>
      <w:r w:rsidRPr="007C7D73">
        <w:rPr>
          <w:rFonts w:ascii="Times New Roman" w:hAnsi="Times New Roman" w:cs="Times New Roman"/>
          <w:i/>
          <w:iCs/>
          <w:noProof/>
          <w:sz w:val="24"/>
          <w:szCs w:val="24"/>
        </w:rPr>
        <w:t>et al.</w:t>
      </w:r>
      <w:r w:rsidRPr="007C7D73">
        <w:rPr>
          <w:rFonts w:ascii="Times New Roman" w:hAnsi="Times New Roman" w:cs="Times New Roman"/>
          <w:noProof/>
          <w:sz w:val="24"/>
          <w:szCs w:val="24"/>
        </w:rPr>
        <w:t>, 2015 Orchestrating high-throughput genomic analysis with Bioconductor. Nat. Methods 12: 115–121. https://doi.org/10.1038/nmeth.3252</w:t>
      </w:r>
    </w:p>
    <w:p w14:paraId="60791789" w14:textId="77777777" w:rsidR="007C7D73" w:rsidRPr="007C7D73" w:rsidRDefault="007C7D73" w:rsidP="007C7D73">
      <w:pPr>
        <w:widowControl w:val="0"/>
        <w:autoSpaceDE w:val="0"/>
        <w:autoSpaceDN w:val="0"/>
        <w:adjustRightInd w:val="0"/>
        <w:spacing w:line="240" w:lineRule="auto"/>
        <w:ind w:left="475" w:hanging="475"/>
        <w:jc w:val="both"/>
        <w:rPr>
          <w:rFonts w:ascii="Times New Roman" w:hAnsi="Times New Roman" w:cs="Times New Roman"/>
          <w:noProof/>
          <w:sz w:val="24"/>
          <w:szCs w:val="24"/>
        </w:rPr>
      </w:pPr>
      <w:r w:rsidRPr="007C7D73">
        <w:rPr>
          <w:rFonts w:ascii="Times New Roman" w:hAnsi="Times New Roman" w:cs="Times New Roman"/>
          <w:noProof/>
          <w:sz w:val="24"/>
          <w:szCs w:val="24"/>
        </w:rPr>
        <w:t>Laemmli U. K., 1970 Cleavage of structural proteins during the assembly of the head of bacteriophage T4. Nature 227: 680–685. https://doi.org/10.1038/227680a0</w:t>
      </w:r>
    </w:p>
    <w:p w14:paraId="2088BF3C" w14:textId="77777777" w:rsidR="007C7D73" w:rsidRPr="007C7D73" w:rsidRDefault="007C7D73" w:rsidP="007C7D73">
      <w:pPr>
        <w:widowControl w:val="0"/>
        <w:autoSpaceDE w:val="0"/>
        <w:autoSpaceDN w:val="0"/>
        <w:adjustRightInd w:val="0"/>
        <w:spacing w:line="240" w:lineRule="auto"/>
        <w:ind w:left="475" w:hanging="475"/>
        <w:jc w:val="both"/>
        <w:rPr>
          <w:rFonts w:ascii="Times New Roman" w:hAnsi="Times New Roman" w:cs="Times New Roman"/>
          <w:noProof/>
          <w:sz w:val="24"/>
          <w:szCs w:val="24"/>
        </w:rPr>
      </w:pPr>
      <w:r w:rsidRPr="007C7D73">
        <w:rPr>
          <w:rFonts w:ascii="Times New Roman" w:hAnsi="Times New Roman" w:cs="Times New Roman"/>
          <w:noProof/>
          <w:sz w:val="24"/>
          <w:szCs w:val="24"/>
        </w:rPr>
        <w:t xml:space="preserve">Lee J., E. Yoo, H. Lee, K. Park, J.-H. Hur, </w:t>
      </w:r>
      <w:r w:rsidRPr="007C7D73">
        <w:rPr>
          <w:rFonts w:ascii="Times New Roman" w:hAnsi="Times New Roman" w:cs="Times New Roman"/>
          <w:i/>
          <w:iCs/>
          <w:noProof/>
          <w:sz w:val="24"/>
          <w:szCs w:val="24"/>
        </w:rPr>
        <w:t>et al.</w:t>
      </w:r>
      <w:r w:rsidRPr="007C7D73">
        <w:rPr>
          <w:rFonts w:ascii="Times New Roman" w:hAnsi="Times New Roman" w:cs="Times New Roman"/>
          <w:noProof/>
          <w:sz w:val="24"/>
          <w:szCs w:val="24"/>
        </w:rPr>
        <w:t>, 2017 LSM12 and ME31B/DDX6 Define Distinct Modes of Posttranscriptional Regulation by ATAXIN-2 Protein Complex in Drosophila Circadian Pacemaker Neurons. Mol. Cell 66: 129-140.e7. https://doi.org/10.1016/j.molcel.2017.03.004</w:t>
      </w:r>
    </w:p>
    <w:p w14:paraId="391D19D1" w14:textId="77777777" w:rsidR="007C7D73" w:rsidRPr="007C7D73" w:rsidRDefault="007C7D73" w:rsidP="007C7D73">
      <w:pPr>
        <w:widowControl w:val="0"/>
        <w:autoSpaceDE w:val="0"/>
        <w:autoSpaceDN w:val="0"/>
        <w:adjustRightInd w:val="0"/>
        <w:spacing w:line="240" w:lineRule="auto"/>
        <w:ind w:left="475" w:hanging="475"/>
        <w:jc w:val="both"/>
        <w:rPr>
          <w:rFonts w:ascii="Times New Roman" w:hAnsi="Times New Roman" w:cs="Times New Roman"/>
          <w:noProof/>
          <w:sz w:val="24"/>
          <w:szCs w:val="24"/>
        </w:rPr>
      </w:pPr>
      <w:r w:rsidRPr="007C7D73">
        <w:rPr>
          <w:rFonts w:ascii="Times New Roman" w:hAnsi="Times New Roman" w:cs="Times New Roman"/>
          <w:noProof/>
          <w:sz w:val="24"/>
          <w:szCs w:val="24"/>
        </w:rPr>
        <w:t>Love M., C. Ahlmann-Eltze, S. Anders, and W. Huber, 2020 Differential gene expression analysis based on the negative binomial distribution (DESeq2, Bioconductor Version, Release 3.11)</w:t>
      </w:r>
    </w:p>
    <w:p w14:paraId="2C744988" w14:textId="77777777" w:rsidR="007C7D73" w:rsidRPr="007C7D73" w:rsidRDefault="007C7D73" w:rsidP="007C7D73">
      <w:pPr>
        <w:widowControl w:val="0"/>
        <w:autoSpaceDE w:val="0"/>
        <w:autoSpaceDN w:val="0"/>
        <w:adjustRightInd w:val="0"/>
        <w:spacing w:line="240" w:lineRule="auto"/>
        <w:ind w:left="475" w:hanging="475"/>
        <w:jc w:val="both"/>
        <w:rPr>
          <w:rFonts w:ascii="Times New Roman" w:hAnsi="Times New Roman" w:cs="Times New Roman"/>
          <w:noProof/>
          <w:sz w:val="24"/>
          <w:szCs w:val="24"/>
        </w:rPr>
      </w:pPr>
      <w:r w:rsidRPr="007C7D73">
        <w:rPr>
          <w:rFonts w:ascii="Times New Roman" w:hAnsi="Times New Roman" w:cs="Times New Roman"/>
          <w:noProof/>
          <w:sz w:val="24"/>
          <w:szCs w:val="24"/>
        </w:rPr>
        <w:t>Mi H., A. Muruganujan, D. Ebert, X. Huang, and P. D. Thomas, 2019 PANTHER version 14: more genomes, a new PANTHER GO-slim and improvements in enrichment analysis tools. Nucleic Acids Res. 47: 419–426. https://doi.org/10.1093/nar/gky1038</w:t>
      </w:r>
    </w:p>
    <w:p w14:paraId="0435C1BF" w14:textId="77777777" w:rsidR="007C7D73" w:rsidRPr="007C7D73" w:rsidRDefault="007C7D73" w:rsidP="007C7D73">
      <w:pPr>
        <w:widowControl w:val="0"/>
        <w:autoSpaceDE w:val="0"/>
        <w:autoSpaceDN w:val="0"/>
        <w:adjustRightInd w:val="0"/>
        <w:spacing w:line="240" w:lineRule="auto"/>
        <w:ind w:left="475" w:hanging="475"/>
        <w:jc w:val="both"/>
        <w:rPr>
          <w:rFonts w:ascii="Times New Roman" w:hAnsi="Times New Roman" w:cs="Times New Roman"/>
          <w:noProof/>
          <w:sz w:val="24"/>
          <w:szCs w:val="24"/>
        </w:rPr>
      </w:pPr>
      <w:r w:rsidRPr="007C7D73">
        <w:rPr>
          <w:rFonts w:ascii="Times New Roman" w:hAnsi="Times New Roman" w:cs="Times New Roman"/>
          <w:noProof/>
          <w:sz w:val="24"/>
          <w:szCs w:val="24"/>
        </w:rPr>
        <w:t xml:space="preserve">Pak C., M. Garshasbi, K. Kahrizi, C. Gross, L. H. Apponi, </w:t>
      </w:r>
      <w:r w:rsidRPr="007C7D73">
        <w:rPr>
          <w:rFonts w:ascii="Times New Roman" w:hAnsi="Times New Roman" w:cs="Times New Roman"/>
          <w:i/>
          <w:iCs/>
          <w:noProof/>
          <w:sz w:val="24"/>
          <w:szCs w:val="24"/>
        </w:rPr>
        <w:t>et al.</w:t>
      </w:r>
      <w:r w:rsidRPr="007C7D73">
        <w:rPr>
          <w:rFonts w:ascii="Times New Roman" w:hAnsi="Times New Roman" w:cs="Times New Roman"/>
          <w:noProof/>
          <w:sz w:val="24"/>
          <w:szCs w:val="24"/>
        </w:rPr>
        <w:t>, 2011 Mutation of the conserved polyadenosine RNA binding protein, ZC3H14/dNab2, impairs neural function in Drosophila and humans. Proc. Natl. Acad. Sci. U. S. A. 108: 12390–5. https://doi.org/10.1073/pnas.1107103108</w:t>
      </w:r>
    </w:p>
    <w:p w14:paraId="1D567FF9" w14:textId="77777777" w:rsidR="007C7D73" w:rsidRPr="007C7D73" w:rsidRDefault="007C7D73" w:rsidP="007C7D73">
      <w:pPr>
        <w:widowControl w:val="0"/>
        <w:autoSpaceDE w:val="0"/>
        <w:autoSpaceDN w:val="0"/>
        <w:adjustRightInd w:val="0"/>
        <w:spacing w:line="240" w:lineRule="auto"/>
        <w:ind w:left="475" w:hanging="475"/>
        <w:jc w:val="both"/>
        <w:rPr>
          <w:rFonts w:ascii="Times New Roman" w:hAnsi="Times New Roman" w:cs="Times New Roman"/>
          <w:noProof/>
          <w:sz w:val="24"/>
          <w:szCs w:val="24"/>
        </w:rPr>
      </w:pPr>
      <w:r w:rsidRPr="007C7D73">
        <w:rPr>
          <w:rFonts w:ascii="Times New Roman" w:hAnsi="Times New Roman" w:cs="Times New Roman"/>
          <w:noProof/>
          <w:sz w:val="24"/>
          <w:szCs w:val="24"/>
        </w:rPr>
        <w:t>The Gene Ontology Consortium, 2019 The Gene Ontology Resource: 20 years and still GOing strong. Nucleic Acids Res. 47: D330–D338. https://doi.org/10.1093/nar/gky1055</w:t>
      </w:r>
    </w:p>
    <w:p w14:paraId="1A784728" w14:textId="77777777" w:rsidR="007C7D73" w:rsidRPr="007C7D73" w:rsidRDefault="007C7D73" w:rsidP="007C7D73">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7C7D73">
        <w:rPr>
          <w:rFonts w:ascii="Times New Roman" w:hAnsi="Times New Roman" w:cs="Times New Roman"/>
          <w:noProof/>
          <w:sz w:val="24"/>
          <w:szCs w:val="24"/>
        </w:rPr>
        <w:t>Tian X., M. Zhu, L. Li, and C. Wu, 2013 Identifying Protein-protein Interaction in Drosophila Adult Heads by Tandem Affinity Purification (TAP). J. Vis. Exp. e50968–e50968. https://doi.org/10.3791/50968</w:t>
      </w:r>
    </w:p>
    <w:p w14:paraId="07F39BFE" w14:textId="0E1C6D76" w:rsidR="007C7D73" w:rsidRPr="007C7D73" w:rsidRDefault="007C7D73" w:rsidP="007C7D73">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fldChar w:fldCharType="end"/>
      </w:r>
    </w:p>
    <w:sectPr w:rsidR="007C7D73" w:rsidRPr="007C7D73" w:rsidSect="0041441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417"/>
    <w:rsid w:val="00135BAB"/>
    <w:rsid w:val="0027097E"/>
    <w:rsid w:val="00283E23"/>
    <w:rsid w:val="00370BAA"/>
    <w:rsid w:val="00414417"/>
    <w:rsid w:val="00455759"/>
    <w:rsid w:val="00796CCB"/>
    <w:rsid w:val="007C7D73"/>
    <w:rsid w:val="008511C8"/>
    <w:rsid w:val="00A27FE6"/>
    <w:rsid w:val="00F80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498A1"/>
  <w15:chartTrackingRefBased/>
  <w15:docId w15:val="{C5DB18B4-1DE9-4FCD-A51E-35BDA0F2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11C8"/>
    <w:rPr>
      <w:sz w:val="16"/>
      <w:szCs w:val="16"/>
    </w:rPr>
  </w:style>
  <w:style w:type="paragraph" w:styleId="CommentText">
    <w:name w:val="annotation text"/>
    <w:basedOn w:val="Normal"/>
    <w:link w:val="CommentTextChar"/>
    <w:uiPriority w:val="99"/>
    <w:unhideWhenUsed/>
    <w:rsid w:val="008511C8"/>
    <w:pPr>
      <w:spacing w:line="240" w:lineRule="auto"/>
    </w:pPr>
    <w:rPr>
      <w:sz w:val="20"/>
      <w:szCs w:val="20"/>
    </w:rPr>
  </w:style>
  <w:style w:type="character" w:customStyle="1" w:styleId="CommentTextChar">
    <w:name w:val="Comment Text Char"/>
    <w:basedOn w:val="DefaultParagraphFont"/>
    <w:link w:val="CommentText"/>
    <w:uiPriority w:val="99"/>
    <w:rsid w:val="008511C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B13D2-2FF0-4036-9020-82E99ECA8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7284</Words>
  <Characters>41522</Characters>
  <Application>Microsoft Office Word</Application>
  <DocSecurity>0</DocSecurity>
  <Lines>346</Lines>
  <Paragraphs>97</Paragraphs>
  <ScaleCrop>false</ScaleCrop>
  <Company/>
  <LinksUpToDate>false</LinksUpToDate>
  <CharactersWithSpaces>48709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Rounds</dc:creator>
  <cp:keywords/>
  <dc:description/>
  <cp:lastModifiedBy>Chris Rounds</cp:lastModifiedBy>
  <cp:revision>6</cp:revision>
  <dcterms:created xsi:type="dcterms:W3CDTF">2021-02-23T04:51:00Z</dcterms:created>
  <dcterms:modified xsi:type="dcterms:W3CDTF">2021-02-23T05:16:00Z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http://csl.mendeley.com/styles/478762691/AmericanPsychologicalAssociation6thedition-DisplayUpTo19AuthorsPerRef-JCR</vt:lpwstr>
  </property>
  <property fmtid="{D5CDD505-2E9C-101B-9397-08002B2CF9AE}" pid="9" name="Mendeley Recent Style Name 3_1">
    <vt:lpwstr>American Psychological Association 6th edition - DisplayUpTo19AuthorsPerRef - JCR</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http://www.zotero.org/styles/genetics</vt:lpwstr>
  </property>
  <property fmtid="{D5CDD505-2E9C-101B-9397-08002B2CF9AE}" pid="15" name="Mendeley Recent Style Name 6_1">
    <vt:lpwstr>Genetics</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1c9bc38f-179d-34bb-b55f-909f73d23018</vt:lpwstr>
  </property>
  <property fmtid="{D5CDD505-2E9C-101B-9397-08002B2CF9AE}" pid="24" name="Mendeley Citation Style_1">
    <vt:lpwstr>http://www.zotero.org/styles/genetics</vt:lpwstr>
  </property>
</Properties>
</file>