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AD" w:rsidRPr="002E4481" w:rsidRDefault="004B75AD" w:rsidP="004B75AD">
      <w:pPr>
        <w:rPr>
          <w:rFonts w:ascii="Times New Roman" w:eastAsiaTheme="minorHAnsi" w:hAnsi="Times New Roman" w:cs="Times New Roman"/>
          <w:b/>
          <w:sz w:val="24"/>
        </w:rPr>
      </w:pPr>
      <w:r>
        <w:rPr>
          <w:rFonts w:ascii="Times New Roman" w:eastAsiaTheme="minorHAnsi" w:hAnsi="Times New Roman" w:cs="Times New Roman"/>
          <w:b/>
          <w:sz w:val="24"/>
        </w:rPr>
        <w:t>Supplementary F</w:t>
      </w:r>
      <w:r w:rsidRPr="002E4481">
        <w:rPr>
          <w:rFonts w:ascii="Times New Roman" w:eastAsiaTheme="minorHAnsi" w:hAnsi="Times New Roman" w:cs="Times New Roman"/>
          <w:b/>
          <w:sz w:val="24"/>
        </w:rPr>
        <w:t>igure</w:t>
      </w:r>
      <w:r>
        <w:rPr>
          <w:rFonts w:ascii="Times New Roman" w:eastAsiaTheme="minorHAnsi" w:hAnsi="Times New Roman" w:cs="Times New Roman"/>
          <w:b/>
          <w:sz w:val="24"/>
        </w:rPr>
        <w:t xml:space="preserve"> </w:t>
      </w:r>
      <w:r w:rsidRPr="002E4481">
        <w:rPr>
          <w:rFonts w:ascii="Times New Roman" w:eastAsiaTheme="minorHAnsi" w:hAnsi="Times New Roman" w:cs="Times New Roman"/>
          <w:b/>
          <w:sz w:val="24"/>
        </w:rPr>
        <w:t>legend</w:t>
      </w:r>
      <w:r>
        <w:rPr>
          <w:rFonts w:ascii="Times New Roman" w:eastAsiaTheme="minorHAnsi" w:hAnsi="Times New Roman" w:cs="Times New Roman"/>
          <w:b/>
          <w:sz w:val="24"/>
        </w:rPr>
        <w:t>s</w:t>
      </w:r>
    </w:p>
    <w:p w:rsidR="004B75AD" w:rsidRPr="002E4481" w:rsidRDefault="004B75AD" w:rsidP="004B75AD">
      <w:pPr>
        <w:spacing w:before="24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>Figure S1. Quality and feature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s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 xml:space="preserve"> of the RNA-seq datasets. 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>(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>A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Principal component analysis (PCA) of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the 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>RNA-seq samples. (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>B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 w:cs="Times New Roman"/>
          <w:sz w:val="24"/>
          <w:szCs w:val="24"/>
        </w:rPr>
        <w:t>Violin plots showing L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og10-transformed FPKM </w:t>
      </w:r>
      <w:r>
        <w:rPr>
          <w:rFonts w:ascii="Times New Roman" w:eastAsiaTheme="minorHAnsi" w:hAnsi="Times New Roman" w:cs="Times New Roman"/>
          <w:sz w:val="24"/>
          <w:szCs w:val="24"/>
        </w:rPr>
        <w:t>measurements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for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all samples. Filled white circles represent the median, and the first and third quartile</w:t>
      </w:r>
      <w:r>
        <w:rPr>
          <w:rFonts w:ascii="Times New Roman" w:eastAsiaTheme="minorHAnsi" w:hAnsi="Times New Roman" w:cs="Times New Roman"/>
          <w:sz w:val="24"/>
          <w:szCs w:val="24"/>
        </w:rPr>
        <w:t>s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are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represented, </w:t>
      </w:r>
      <w:r w:rsidRPr="00F31914">
        <w:rPr>
          <w:rFonts w:ascii="Times New Roman" w:eastAsiaTheme="minorHAnsi" w:hAnsi="Times New Roman" w:cs="Times New Roman"/>
          <w:sz w:val="24"/>
          <w:szCs w:val="24"/>
        </w:rPr>
        <w:t>respectively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2E4481" w:rsidDel="009D658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by the </w:t>
      </w:r>
      <w:r>
        <w:rPr>
          <w:rFonts w:ascii="Times New Roman" w:eastAsiaTheme="minorHAnsi" w:hAnsi="Times New Roman" w:cs="Times New Roman"/>
          <w:sz w:val="24"/>
          <w:szCs w:val="24"/>
        </w:rPr>
        <w:t>lower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and </w:t>
      </w:r>
      <w:r>
        <w:rPr>
          <w:rFonts w:ascii="Times New Roman" w:eastAsiaTheme="minorHAnsi" w:hAnsi="Times New Roman" w:cs="Times New Roman"/>
          <w:sz w:val="24"/>
          <w:szCs w:val="24"/>
        </w:rPr>
        <w:t>upper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bold vertical lines. The </w:t>
      </w:r>
      <w:r>
        <w:rPr>
          <w:rFonts w:ascii="Times New Roman" w:eastAsiaTheme="minorHAnsi" w:hAnsi="Times New Roman" w:cs="Times New Roman"/>
          <w:sz w:val="24"/>
          <w:szCs w:val="24"/>
        </w:rPr>
        <w:t>lower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and </w:t>
      </w:r>
      <w:r>
        <w:rPr>
          <w:rFonts w:ascii="Times New Roman" w:eastAsiaTheme="minorHAnsi" w:hAnsi="Times New Roman" w:cs="Times New Roman"/>
          <w:sz w:val="24"/>
          <w:szCs w:val="24"/>
        </w:rPr>
        <w:t>upper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thin vertical line</w:t>
      </w:r>
      <w:r>
        <w:rPr>
          <w:rFonts w:ascii="Times New Roman" w:eastAsiaTheme="minorHAnsi" w:hAnsi="Times New Roman" w:cs="Times New Roman"/>
          <w:sz w:val="24"/>
          <w:szCs w:val="24"/>
        </w:rPr>
        <w:t>s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31914">
        <w:rPr>
          <w:rFonts w:ascii="Times New Roman" w:eastAsiaTheme="minorHAnsi" w:hAnsi="Times New Roman" w:cs="Times New Roman"/>
          <w:sz w:val="24"/>
          <w:szCs w:val="24"/>
        </w:rPr>
        <w:t>respectively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represent the lower and upper adjacent values.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NN, optimal nitrate; NL, low nitrate; NH, high nitrate; 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>R1</w:t>
      </w:r>
      <w:r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>3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biological replicate number. 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>(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>C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Normalized gene-body coverage of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the 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>RNA-seq libraries generated from soybean root</w:t>
      </w:r>
      <w:r>
        <w:rPr>
          <w:rFonts w:ascii="Times New Roman" w:eastAsiaTheme="minorHAnsi" w:hAnsi="Times New Roman" w:cs="Times New Roman"/>
          <w:sz w:val="24"/>
          <w:szCs w:val="24"/>
        </w:rPr>
        <w:t>s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. For each library, average coverage at each </w:t>
      </w:r>
      <w:r>
        <w:rPr>
          <w:rFonts w:ascii="Times New Roman" w:eastAsiaTheme="minorHAnsi" w:hAnsi="Times New Roman" w:cs="Times New Roman"/>
          <w:sz w:val="24"/>
          <w:szCs w:val="24"/>
        </w:rPr>
        <w:t>transcript position is shown.</w:t>
      </w:r>
    </w:p>
    <w:p w:rsidR="004B75AD" w:rsidRPr="002E4481" w:rsidRDefault="004B75AD" w:rsidP="004B75AD">
      <w:pPr>
        <w:spacing w:before="240" w:line="276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 xml:space="preserve">Figure S2. Identification and comparison of </w:t>
      </w:r>
      <w:r w:rsidRPr="00F31914">
        <w:rPr>
          <w:rFonts w:ascii="Times New Roman" w:eastAsiaTheme="minorHAnsi" w:hAnsi="Times New Roman" w:cs="Times New Roman"/>
          <w:b/>
          <w:sz w:val="24"/>
          <w:szCs w:val="24"/>
        </w:rPr>
        <w:t xml:space="preserve">nitrate-responsive 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 xml:space="preserve">DEGs in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the 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 xml:space="preserve">soybean root. 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>(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>A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 w:cs="Times New Roman"/>
          <w:sz w:val="24"/>
          <w:szCs w:val="24"/>
        </w:rPr>
        <w:t>U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>p</w:t>
      </w: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and downregulated DEGs </w:t>
      </w:r>
      <w:r>
        <w:rPr>
          <w:rFonts w:ascii="Times New Roman" w:eastAsiaTheme="minorHAnsi" w:hAnsi="Times New Roman" w:cs="Times New Roman"/>
          <w:sz w:val="24"/>
          <w:szCs w:val="24"/>
        </w:rPr>
        <w:t>in each treatment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group. (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>B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–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>C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>) Venn diagrams showing the overlap</w:t>
      </w:r>
      <w:r>
        <w:rPr>
          <w:rFonts w:ascii="Times New Roman" w:eastAsiaTheme="minorHAnsi" w:hAnsi="Times New Roman" w:cs="Times New Roman"/>
          <w:sz w:val="24"/>
          <w:szCs w:val="24"/>
        </w:rPr>
        <w:t>ping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01808">
        <w:rPr>
          <w:rFonts w:ascii="Times New Roman" w:eastAsiaTheme="minorHAnsi" w:hAnsi="Times New Roman" w:cs="Times New Roman"/>
          <w:b/>
          <w:bCs/>
          <w:sz w:val="24"/>
          <w:szCs w:val="24"/>
        </w:rPr>
        <w:t>(B)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upregulated and </w:t>
      </w:r>
      <w:r w:rsidRPr="00801808">
        <w:rPr>
          <w:rFonts w:ascii="Times New Roman" w:eastAsiaTheme="minorHAnsi" w:hAnsi="Times New Roman" w:cs="Times New Roman"/>
          <w:b/>
          <w:bCs/>
          <w:sz w:val="24"/>
          <w:szCs w:val="24"/>
        </w:rPr>
        <w:t>(C)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downregulated DEGs </w:t>
      </w:r>
      <w:r>
        <w:rPr>
          <w:rFonts w:ascii="Times New Roman" w:eastAsiaTheme="minorHAnsi" w:hAnsi="Times New Roman" w:cs="Times New Roman"/>
          <w:sz w:val="24"/>
          <w:szCs w:val="24"/>
        </w:rPr>
        <w:t>among treatment groups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4B75AD" w:rsidRDefault="004B75AD" w:rsidP="004B75AD">
      <w:pPr>
        <w:spacing w:before="240" w:line="276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 w:hint="eastAsia"/>
          <w:b/>
          <w:sz w:val="24"/>
          <w:szCs w:val="24"/>
        </w:rPr>
        <w:t>F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igure S3. Categories and numbers of AS events are schematically illustrated by ASTALAVISTA program. </w:t>
      </w:r>
    </w:p>
    <w:p w:rsidR="004B75AD" w:rsidRPr="002E4481" w:rsidRDefault="004B75AD" w:rsidP="004B75AD">
      <w:pPr>
        <w:spacing w:before="24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 xml:space="preserve">Figure S4. Venn diagrams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showing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overlaps among </w:t>
      </w:r>
      <w:r w:rsidRPr="0076315D">
        <w:rPr>
          <w:rFonts w:ascii="Times New Roman" w:eastAsiaTheme="minorHAnsi" w:hAnsi="Times New Roman" w:cs="Times New Roman"/>
          <w:b/>
          <w:sz w:val="24"/>
          <w:szCs w:val="24"/>
        </w:rPr>
        <w:t>differential alternative splicing (DAS) events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for each 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 xml:space="preserve">AS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type across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treatment groups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>A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>) A3SS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>B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>) A5SS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>C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>) RI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>D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>) SE</w:t>
      </w:r>
      <w:r>
        <w:rPr>
          <w:rFonts w:ascii="Times New Roman" w:eastAsiaTheme="minorHAnsi" w:hAnsi="Times New Roman" w:cs="Times New Roman"/>
          <w:sz w:val="24"/>
          <w:szCs w:val="24"/>
        </w:rPr>
        <w:t>, and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>E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>) MXE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>F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 w:cs="Times New Roman"/>
          <w:sz w:val="24"/>
          <w:szCs w:val="24"/>
        </w:rPr>
        <w:t>Overlap between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genes with 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AS events (DSGs </w:t>
      </w:r>
      <w:r>
        <w:rPr>
          <w:rFonts w:ascii="Times New Roman" w:eastAsiaTheme="minorHAnsi" w:hAnsi="Times New Roman" w:cs="Times New Roman"/>
          <w:sz w:val="24"/>
          <w:szCs w:val="24"/>
        </w:rPr>
        <w:t>and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 xml:space="preserve"> DEGs) </w:t>
      </w:r>
      <w:r>
        <w:rPr>
          <w:rFonts w:ascii="Times New Roman" w:eastAsiaTheme="minorHAnsi" w:hAnsi="Times New Roman" w:cs="Times New Roman"/>
          <w:sz w:val="24"/>
          <w:szCs w:val="24"/>
        </w:rPr>
        <w:t>under different nitrate treatments</w:t>
      </w:r>
      <w:r w:rsidRPr="002E448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6F517A" w:rsidRPr="004B75AD" w:rsidRDefault="004B75AD" w:rsidP="004B75AD">
      <w:pPr>
        <w:spacing w:before="240" w:line="276" w:lineRule="auto"/>
      </w:pP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S</w:t>
      </w:r>
      <w:r w:rsidRPr="002E4481">
        <w:rPr>
          <w:rFonts w:ascii="Times New Roman" w:eastAsiaTheme="minorHAnsi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Three</w:t>
      </w:r>
      <w:r w:rsidRPr="002E448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representative nitrate-responsive AS events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identified using</w:t>
      </w:r>
      <w:r w:rsidRPr="002E448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NA-seq and validated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using</w:t>
      </w:r>
      <w:r w:rsidRPr="002E448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RT-PCR</w:t>
      </w:r>
      <w:r w:rsidRPr="002E448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r w:rsidRPr="002E448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448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(</w:t>
      </w:r>
      <w:r w:rsidRPr="002E448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–C</w:t>
      </w:r>
      <w:r w:rsidRPr="002E448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Representative genes that</w:t>
      </w:r>
      <w:r w:rsidRPr="009D658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F3191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switch between isoform 1 and isoform 2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in response to</w:t>
      </w:r>
      <w:r w:rsidRPr="00F3191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different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nitrate </w:t>
      </w:r>
      <w:r w:rsidRPr="00F3191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concentration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s: 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(A)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m</w:t>
      </w:r>
      <w:r w:rsidRPr="002E448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alectin/receptor-like protein kinase (</w:t>
      </w:r>
      <w:r w:rsidRPr="00801808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  <w:t>Glyma.18G273100</w:t>
      </w:r>
      <w:r w:rsidRPr="002E448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;</w:t>
      </w:r>
      <w:r w:rsidRPr="002E448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(</w:t>
      </w:r>
      <w:r w:rsidRPr="002E448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B</w:t>
      </w:r>
      <w:r w:rsidRPr="002E448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) unknown gene (</w:t>
      </w:r>
      <w:r w:rsidRPr="00801808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  <w:t>Glyma.19G147600</w:t>
      </w:r>
      <w:r w:rsidRPr="002E448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; and </w:t>
      </w:r>
      <w:r w:rsidRPr="002E448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(</w:t>
      </w:r>
      <w:r w:rsidRPr="002E448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C</w:t>
      </w:r>
      <w:r w:rsidRPr="002E448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</w:t>
      </w:r>
      <w:r w:rsidRPr="002E448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plicing factor (</w:t>
      </w:r>
      <w:r w:rsidRPr="00801808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  <w:t>Glyma.06G324000</w:t>
      </w:r>
      <w:r w:rsidRPr="002E448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). (</w:t>
      </w:r>
      <w:r w:rsidRPr="002E448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D</w:t>
      </w:r>
      <w:r w:rsidRPr="002E448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) RT-PCR results and gene structure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s, </w:t>
      </w:r>
      <w:r w:rsidRPr="002E448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visualized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using the</w:t>
      </w:r>
      <w:r w:rsidRPr="002E448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IGV browser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(</w:t>
      </w:r>
      <w:hyperlink r:id="rId6" w:history="1">
        <w:r w:rsidRPr="00A50E7D">
          <w:rPr>
            <w:rStyle w:val="a7"/>
            <w:rFonts w:ascii="Times New Roman" w:eastAsiaTheme="minorHAnsi" w:hAnsi="Times New Roman" w:cs="Times New Roman"/>
            <w:sz w:val="24"/>
            <w:szCs w:val="24"/>
          </w:rPr>
          <w:t>https://software.broadinstitute.org/software/igv/</w:t>
        </w:r>
      </w:hyperlink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; </w:t>
      </w:r>
      <w:r w:rsidRPr="005C566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Robinson et al., 2017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)</w:t>
      </w:r>
      <w:r w:rsidRPr="002E448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6F517A" w:rsidRPr="004B7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0D" w:rsidRDefault="0044080D" w:rsidP="004B75AD">
      <w:r>
        <w:separator/>
      </w:r>
    </w:p>
  </w:endnote>
  <w:endnote w:type="continuationSeparator" w:id="0">
    <w:p w:rsidR="0044080D" w:rsidRDefault="0044080D" w:rsidP="004B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0D" w:rsidRDefault="0044080D" w:rsidP="004B75AD">
      <w:r>
        <w:separator/>
      </w:r>
    </w:p>
  </w:footnote>
  <w:footnote w:type="continuationSeparator" w:id="0">
    <w:p w:rsidR="0044080D" w:rsidRDefault="0044080D" w:rsidP="004B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69"/>
    <w:rsid w:val="0044080D"/>
    <w:rsid w:val="004B75AD"/>
    <w:rsid w:val="00790893"/>
    <w:rsid w:val="00A8625A"/>
    <w:rsid w:val="00B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538AC2-80EC-450F-84E5-EE7828E3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75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7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75AD"/>
    <w:rPr>
      <w:sz w:val="18"/>
      <w:szCs w:val="18"/>
    </w:rPr>
  </w:style>
  <w:style w:type="character" w:styleId="a7">
    <w:name w:val="Hyperlink"/>
    <w:basedOn w:val="a0"/>
    <w:uiPriority w:val="99"/>
    <w:unhideWhenUsed/>
    <w:rsid w:val="004B7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ftware.broadinstitute.org/software/ig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>微软中国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2021-05-07T02:25:00Z</dcterms:created>
  <dcterms:modified xsi:type="dcterms:W3CDTF">2021-05-07T02:26:00Z</dcterms:modified>
</cp:coreProperties>
</file>