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92E8C" w14:textId="77777777" w:rsidR="007625C7" w:rsidRPr="00F123AE" w:rsidRDefault="007625C7" w:rsidP="00020AA7">
      <w:pPr>
        <w:spacing w:line="480" w:lineRule="auto"/>
        <w:rPr>
          <w:rFonts w:ascii="Times" w:hAnsi="Times"/>
          <w:b/>
          <w:bCs/>
          <w:color w:val="000000" w:themeColor="text1"/>
        </w:rPr>
      </w:pPr>
      <w:r w:rsidRPr="00F123AE">
        <w:rPr>
          <w:rFonts w:ascii="Times" w:hAnsi="Times"/>
          <w:b/>
          <w:bCs/>
          <w:color w:val="000000" w:themeColor="text1"/>
        </w:rPr>
        <w:t>Simulations</w:t>
      </w:r>
    </w:p>
    <w:p w14:paraId="2B9B9C62" w14:textId="63C96E19" w:rsidR="007625C7" w:rsidRPr="00F123AE" w:rsidRDefault="007625C7" w:rsidP="00827255">
      <w:pPr>
        <w:spacing w:line="480" w:lineRule="auto"/>
        <w:ind w:firstLine="630"/>
        <w:rPr>
          <w:rFonts w:ascii="Times" w:hAnsi="Times"/>
          <w:color w:val="000000" w:themeColor="text1"/>
        </w:rPr>
      </w:pPr>
      <w:r w:rsidRPr="00F123AE">
        <w:rPr>
          <w:rFonts w:ascii="Times" w:hAnsi="Times"/>
          <w:color w:val="000000" w:themeColor="text1"/>
        </w:rPr>
        <w:t xml:space="preserve">To verify the reliability of SV calling pipeline, SVs were simulated from two reference genomes of BTx623 </w:t>
      </w:r>
      <w:r w:rsidRPr="00F123AE">
        <w:rPr>
          <w:rFonts w:ascii="Times" w:hAnsi="Times"/>
          <w:color w:val="000000" w:themeColor="text1"/>
        </w:rPr>
        <w:fldChar w:fldCharType="begin" w:fldLock="1"/>
      </w:r>
      <w:r w:rsidR="00232F09" w:rsidRPr="00F123AE">
        <w:rPr>
          <w:rFonts w:ascii="Times" w:hAnsi="Times"/>
          <w:color w:val="000000" w:themeColor="text1"/>
        </w:rPr>
        <w:instrText xml:space="preserve">ADDIN CSL_CITATION {"citationItems":[{"id":"ITEM-1","itemData":{"DOI":"10.1038/nature07723","ISSN":"00280836","PMID":"19189423","abstract":"Sorghum, an African grass related to sugar cane and maize, is grown for food, feed, fibre and fuel. We present an initial analysis of the </w:instrText>
      </w:r>
      <w:r w:rsidR="00232F09" w:rsidRPr="00F123AE">
        <w:rPr>
          <w:rFonts w:ascii="Cambria Math" w:hAnsi="Cambria Math" w:cs="Cambria Math"/>
          <w:color w:val="000000" w:themeColor="text1"/>
        </w:rPr>
        <w:instrText>∼</w:instrText>
      </w:r>
      <w:r w:rsidR="00232F09" w:rsidRPr="00F123AE">
        <w:rPr>
          <w:rFonts w:ascii="Times" w:hAnsi="Times"/>
          <w:color w:val="000000" w:themeColor="text1"/>
        </w:rPr>
        <w:instrText xml:space="preserve">730-megabase Sorghum bicolor (L.) Moench genome, placing </w:instrText>
      </w:r>
      <w:r w:rsidR="00232F09" w:rsidRPr="00F123AE">
        <w:rPr>
          <w:rFonts w:ascii="Cambria Math" w:hAnsi="Cambria Math" w:cs="Cambria Math"/>
          <w:color w:val="000000" w:themeColor="text1"/>
        </w:rPr>
        <w:instrText>∼</w:instrText>
      </w:r>
      <w:r w:rsidR="00232F09" w:rsidRPr="00F123AE">
        <w:rPr>
          <w:rFonts w:ascii="Times" w:hAnsi="Times"/>
          <w:color w:val="000000" w:themeColor="text1"/>
        </w:rPr>
        <w:instrText xml:space="preserve">98% of genes in their chromosomal context using whole-genome shotgun sequence validated by genetic, physical and syntenic information. Genetic recombination is largely confined to about one-third of the sorghum genome with gene order and density similar to those of rice. Retrotransposon accumulation in recombinationally recalcitrant heterochromatin explains the </w:instrText>
      </w:r>
      <w:r w:rsidR="00232F09" w:rsidRPr="00F123AE">
        <w:rPr>
          <w:rFonts w:ascii="Cambria Math" w:hAnsi="Cambria Math" w:cs="Cambria Math"/>
          <w:color w:val="000000" w:themeColor="text1"/>
        </w:rPr>
        <w:instrText>∼</w:instrText>
      </w:r>
      <w:r w:rsidR="00232F09" w:rsidRPr="00F123AE">
        <w:rPr>
          <w:rFonts w:ascii="Times" w:hAnsi="Times"/>
          <w:color w:val="000000" w:themeColor="text1"/>
        </w:rPr>
        <w:instrText xml:space="preserve">75% larger genome size of sorghum compared with rice. Although gene and repetitive DNA distributions have been preserved since palaeopolyploidization </w:instrText>
      </w:r>
      <w:r w:rsidR="00232F09" w:rsidRPr="00F123AE">
        <w:rPr>
          <w:rFonts w:ascii="Cambria Math" w:hAnsi="Cambria Math" w:cs="Cambria Math"/>
          <w:color w:val="000000" w:themeColor="text1"/>
        </w:rPr>
        <w:instrText>∼</w:instrText>
      </w:r>
      <w:r w:rsidR="00232F09" w:rsidRPr="00F123AE">
        <w:rPr>
          <w:rFonts w:ascii="Times" w:hAnsi="Times"/>
          <w:color w:val="000000" w:themeColor="text1"/>
        </w:rPr>
        <w:instrText>70 million years ago, most duplicated gene sets lost one member before the sorghum-rice divergence. Concerted evolution makes one duplicated chromosomal segment appear to be only a few million years old. About 24% of genes are grass-specific and 7% are sorghum-specific. Recent gene and microRNA duplications may contribute to sorghum's drought tolerance. ©2009 Macmillan Publishers Limited. All rights reserved.","author":[{"dropping-particle":"","family":"Paterson","given":"Andrew H.","non-dropping-particle":"","parse-names":false,"suffix":""},{"dropping-particle":"","family":"Bowers","given":"John E.","non-dropping-particle":"","parse-names":false,"suffix":""},{"dropping-particle":"","family":"Bruggmann","given":"Rémy","non-dropping-particle":"","parse-names":false,"suffix":""},{"dropping-particle":"","family":"Dubchak","given":"Inna","non-dropping-particle":"","parse-names":false,"suffix":""},{"dropping-particle":"","family":"Grimwood","given":"Jane","non-dropping-particle":"","parse-names":false,"suffix":""},{"dropping-particle":"","family":"Gundlach","given":"Heidrun","non-dropping-particle":"","parse-names":false,"suffix":""},{"dropping-particle":"","family":"Haberer","given":"Georg","non-dropping-particle":"","parse-names":false,"suffix":""},{"dropping-particle":"","family":"Hellsten","given":"Uffe","non-dropping-particle":"","parse-names":false,"suffix":""},{"dropping-particle":"","family":"Mitros","given":"Therese","non-dropping-particle":"","parse-names":false,"suffix":""},{"dropping-particle":"","family":"Poliakov","given":"Alexander","non-dropping-particle":"","parse-names":false,"suffix":""},{"dropping-particle":"","family":"Schmutz","given":"Jeremy","non-dropping-particle":"","parse-names":false,"suffix":""},{"dropping-particle":"","family":"Spannagl","given":"Manuel","non-dropping-particle":"","parse-names":false,"suffix":""},{"dropping-particle":"","family":"Tang","given":"Haibao","non-dropping-particle":"","parse-names":false,"suffix":""},{"dropping-particle":"","family":"Wang","given":"Xiyin","non-dropping-particle":"","parse-names":false,"suffix":""},{"dropping-particle":"","family":"Wicker","given":"Thomas","non-dropping-particle":"","parse-names":false,"suffix":""},{"dropping-particle":"","family":"Bharti","given":"Arvind K.","non-dropping-particle":"","parse-names":false,"suffix":""},{"dropping-particle":"","family":"Chapman","given":"Jarrod","non-dropping-particle":"","parse-names":false,"suffix":""},{"dropping-particle":"","family":"Feltus","given":"F. Alex","non-dropping-particle":"","parse-names":false,"suffix":""},{"dropping-particle":"","family":"Gowik","given":"Udo","non-dropping-particle":"","parse-names":false,"suffix":""},{"dropping-particle":"V.","family":"Grigoriev","given":"Igor","non-dropping-particle":"","parse-names":false,"suffix":""},{"dropping-particle":"","family":"Lyons","given":"Eric","non-dropping-particle":"","parse-names":false,"suffix":""},{"dropping-particle":"","family":"Maher","given":"Christopher A.","non-dropping-particle":"","parse-names":false,"suffix":""},{"dropping-particle":"","family":"Martis","given":"Mihaela","non-dropping-particle":"","parse-names":false,"suffix":""},{"dropping-particle":"","family":"Narechania","given":"Apurva","non-dropping-particle":"","parse-names":false,"suffix":""},{"dropping-particle":"","family":"Otillar","given":"Robert P.","non-dropping-particle":"","parse-names":false,"suffix":""},{"dropping-particle":"","family":"Penning","given":"Bryan W.","non-dropping-particle":"","parse-names":false,"suffix":""},{"dropping-particle":"","family":"Salamov","given":"Asaf A.","non-dropping-particle":"","parse-names":false,"suffix":""},{"dropping-particle":"","family":"Wang","given":"Yu","non-dropping-particle":"","parse-names":false,"suffix":""},{"dropping-particle":"","family":"Zhang","given":"Lifang","non-dropping-particle":"","parse-names":false,"suffix":""},{"dropping-particle":"","family":"Carpita","given":"Nicholas C.","non-dropping-particle":"","parse-names":false,"suffix":""},{"dropping-particle":"","family":"Freeling","given":"Michael","non-dropping-particle":"","parse-names":false,"suffix":""},{"dropping-particle":"","family":"Gingle","given":"Alan R.","non-dropping-particle":"","parse-names":false,"suffix":""},{"dropping-particle":"","family":"Hash","given":"C. Thomas","non-dropping-particle":"","parse-names":false,"suffix":""},{"dropping-particle":"","family":"Keller","given":"Beat","non-dropping-particle":"","parse-names":false,"suffix":""},{"dropping-particle":"","family":"Klein","given":"Patricia","non-dropping-particle":"","parse-names":false,"suffix":""},{"dropping-particle":"","family":"Kresovich","given":"Stephen","non-dropping-particle":"","parse-names":false,"suffix":""},{"dropping-particle":"","family":"McCann","given":"Maureen C.","non-dropping-particle":"","parse-names":false,"suffix":""},{"dropping-particle":"","family":"Ming","given":"Ray","non-dropping-particle":"","parse-names":false,"suffix":""},{"dropping-particle":"","family":"Peterson","given":"Daniel G.","non-dropping-particle":"","parse-names":false,"suffix":""},{"dropping-particle":"","family":"Mehboob-Ur-Rahman","given":"","non-dropping-particle":"","parse-names":false,"suffix":""},{"dropping-particle":"","family":"Ware","given":"Doreen","non-dropping-particle":"","parse-names":false,"suffix":""},{"dropping-particle":"","family":"Westhoff","given":"Peter","non-dropping-particle":"","parse-names":false,"suffix":""},{"dropping-particle":"","family":"Mayer","given":"Klaus F.X.","non-dropping-particle":"","parse-names":false,"suffix":""},{"dropping-particle":"","family":"Messing","given":"Joachim","non-dropping-particle":"","parse-names":false,"suffix":""},{"dropping-particle":"","family":"Rokhsar","given":"Daniel S.","non-dropping-particle":"","parse-names":false,"suffix":""}],"container-title":"Nature","id":"ITEM-1","issued":{"date-parts":[["2009"]]},"title":"The Sorghum bicolor genome and the diversification of grasses","type":"article-journal"},"uris":["http://www.mendeley.com/documents/?uuid=a6f052f0-affc-48ba-a800-f96b1a5255e9"]}],"mendeley":{"formattedCitation":"(Paterson et al., 2009)","plainTextFormattedCitation":"(Paterson et al., 2009)","previouslyFormattedCitation":"(Paterson &lt;i&gt;et al.&lt;/i&gt; 2009)"},"properties":{"noteIndex":0},"schema":"https://github.com/citation-style-language/schema/raw/master/csl-citation.json"}</w:instrText>
      </w:r>
      <w:r w:rsidRPr="00F123AE">
        <w:rPr>
          <w:rFonts w:ascii="Times" w:hAnsi="Times"/>
          <w:color w:val="000000" w:themeColor="text1"/>
        </w:rPr>
        <w:fldChar w:fldCharType="separate"/>
      </w:r>
      <w:r w:rsidR="00232F09" w:rsidRPr="00F123AE">
        <w:rPr>
          <w:rFonts w:ascii="Times" w:hAnsi="Times"/>
          <w:noProof/>
          <w:color w:val="000000" w:themeColor="text1"/>
        </w:rPr>
        <w:t>(Paterson et al., 2009)</w:t>
      </w:r>
      <w:r w:rsidRPr="00F123AE">
        <w:rPr>
          <w:rFonts w:ascii="Times" w:hAnsi="Times"/>
          <w:color w:val="000000" w:themeColor="text1"/>
        </w:rPr>
        <w:fldChar w:fldCharType="end"/>
      </w:r>
      <w:r w:rsidRPr="00F123AE">
        <w:rPr>
          <w:rFonts w:ascii="Times" w:hAnsi="Times"/>
          <w:color w:val="000000" w:themeColor="text1"/>
        </w:rPr>
        <w:t xml:space="preserve"> and Rio </w:t>
      </w:r>
      <w:r w:rsidRPr="00F123AE">
        <w:rPr>
          <w:rFonts w:ascii="Times" w:hAnsi="Times"/>
          <w:color w:val="000000" w:themeColor="text1"/>
        </w:rPr>
        <w:fldChar w:fldCharType="begin" w:fldLock="1"/>
      </w:r>
      <w:r w:rsidR="00232F09" w:rsidRPr="00F123AE">
        <w:rPr>
          <w:rFonts w:ascii="Times" w:hAnsi="Times"/>
          <w:color w:val="000000" w:themeColor="text1"/>
        </w:rPr>
        <w:instrText>ADDIN CSL_CITATION {"citationItems":[{"id":"ITEM-1","itemData":{"author":[{"dropping-particle":"","family":"Cooper","given":"Elizabeth A","non-dropping-particle":"","parse-names":false,"suffix":""},{"dropping-particle":"","family":"Brenton","given":"Zachary W","non-dropping-particle":"","parse-names":false,"suffix":""},{"dropping-particle":"","family":"Flinn","given":"Barry S","non-dropping-particle":"","parse-names":false,"suffix":""},{"dropping-particle":"","family":"Jenkins","given":"Jerry","non-dropping-particle":"","parse-names":false,"suffix":""},{"dropping-particle":"","family":"Shu","given":"Shengqiang","non-dropping-particle":"","parse-names":false,"suffix":""},{"dropping-particle":"","family":"Flowers","given":"Dave","non-dropping-particle":"","parse-names":false,"suffix":""},{"dropping-particle":"","family":"Luo","given":"Feng","non-dropping-particle":"","parse-names":false,"suffix":""},{"dropping-particle":"","family":"Wang","given":"Yunsheng","non-dropping-particle":"","parse-names":false,"suffix":""},{"dropping-particle":"","family":"Xia","given":"Penny","non-dropping-particle":"","parse-names":false,"suffix":""},{"dropping-particle":"","family":"Barry","given":"Kerrie","non-dropping-particle":"","parse-names":false,"suffix":""},{"dropping-particle":"","family":"Daum","given":"Chris","non-dropping-particle":"","parse-names":false,"suffix":""},{"dropping-particle":"","family":"Lipzen","given":"Anna","non-dropping-particle":"","parse-names":false,"suffix":""},{"dropping-particle":"","family":"Yoshinaga","given":"Yuko","non-dropping-particle":"","parse-names":false,"suffix":""},{"dropping-particle":"","family":"Schmutz","given":"Jeremy","non-dropping-particle":"","parse-names":false,"suffix":""},{"dropping-particle":"","family":"Saski","given":"Christopher","non-dropping-particle":"","parse-names":false,"suffix":""},{"dropping-particle":"","family":"Vermerris","given":"Wilfred","non-dropping-particle":"","parse-names":false,"suffix":""},{"dropping-particle":"","family":"Kresovich","given":"Stephen","non-dropping-particle":"","parse-names":false,"suffix":""}],"id":"ITEM-1","issued":{"date-parts":[["2019"]]},"page":"1-13","publisher":"BMC Genomics","title":"A new reference genome for Sorghum bicolor reveals high levels of sequence similarity between sweet and grain genotypes : implications for the genetics of sugar metabolism","type":"article-journal"},"uris":["http://www.mendeley.com/documents/?uuid=67dbdfa2-96aa-4d4f-91d9-6c6ba7cbbdd5"]}],"mendeley":{"formattedCitation":"(Cooper et al., 2019)","plainTextFormattedCitation":"(Cooper et al., 2019)","previouslyFormattedCitation":"(Cooper &lt;i&gt;et al.&lt;/i&gt; 2019)"},"properties":{"noteIndex":0},"schema":"https://github.com/citation-style-language/schema/raw/master/csl-citation.json"}</w:instrText>
      </w:r>
      <w:r w:rsidRPr="00F123AE">
        <w:rPr>
          <w:rFonts w:ascii="Times" w:hAnsi="Times"/>
          <w:color w:val="000000" w:themeColor="text1"/>
        </w:rPr>
        <w:fldChar w:fldCharType="separate"/>
      </w:r>
      <w:r w:rsidR="00232F09" w:rsidRPr="00F123AE">
        <w:rPr>
          <w:rFonts w:ascii="Times" w:hAnsi="Times"/>
          <w:noProof/>
          <w:color w:val="000000" w:themeColor="text1"/>
        </w:rPr>
        <w:t>(Cooper et al., 2019)</w:t>
      </w:r>
      <w:r w:rsidRPr="00F123AE">
        <w:rPr>
          <w:rFonts w:ascii="Times" w:hAnsi="Times"/>
          <w:color w:val="000000" w:themeColor="text1"/>
        </w:rPr>
        <w:fldChar w:fldCharType="end"/>
      </w:r>
      <w:r w:rsidRPr="00F123AE">
        <w:rPr>
          <w:rFonts w:ascii="Times" w:hAnsi="Times"/>
          <w:color w:val="000000" w:themeColor="text1"/>
        </w:rPr>
        <w:t xml:space="preserve"> via R package </w:t>
      </w:r>
      <w:proofErr w:type="spellStart"/>
      <w:r w:rsidRPr="00F123AE">
        <w:rPr>
          <w:rFonts w:ascii="Times" w:hAnsi="Times"/>
          <w:color w:val="000000" w:themeColor="text1"/>
        </w:rPr>
        <w:t>RSVSim</w:t>
      </w:r>
      <w:proofErr w:type="spellEnd"/>
      <w:r w:rsidRPr="00F123AE">
        <w:rPr>
          <w:rFonts w:ascii="Times" w:hAnsi="Times"/>
          <w:color w:val="000000" w:themeColor="text1"/>
        </w:rPr>
        <w:t xml:space="preserve"> (version 3.10) </w:t>
      </w:r>
      <w:r w:rsidRPr="00F123AE">
        <w:rPr>
          <w:rFonts w:ascii="Times" w:hAnsi="Times"/>
          <w:color w:val="000000" w:themeColor="text1"/>
        </w:rPr>
        <w:fldChar w:fldCharType="begin" w:fldLock="1"/>
      </w:r>
      <w:r w:rsidR="00232F09" w:rsidRPr="00F123AE">
        <w:rPr>
          <w:rFonts w:ascii="Times" w:hAnsi="Times"/>
          <w:color w:val="000000" w:themeColor="text1"/>
        </w:rPr>
        <w:instrText>ADDIN CSL_CITATION {"citationItems":[{"id":"ITEM-1","itemData":{"author":[{"dropping-particle":"","family":"Bartenhagen","given":"Christoph","non-dropping-particle":"","parse-names":false,"suffix":""}],"id":"ITEM-1","issued":{"date-parts":[["2018"]]},"note":"R package version 1.22.0","title":"RSVSim: an R/Bioconductor package for the simulation of structural variations","type":"article"},"uris":["http://www.mendeley.com/documents/?uuid=22ae4c46-ee6e-40a5-824a-6f78b8225828","http://www.mendeley.com/documents/?uuid=d94b47c6-30f9-4a4d-afb6-641e48bf9f55"]}],"mendeley":{"formattedCitation":"(Bartenhagen, 2018)","plainTextFormattedCitation":"(Bartenhagen, 2018)","previouslyFormattedCitation":"(Bartenhagen 2018)"},"properties":{"noteIndex":0},"schema":"https://github.com/citation-style-language/schema/raw/master/csl-citation.json"}</w:instrText>
      </w:r>
      <w:r w:rsidRPr="00F123AE">
        <w:rPr>
          <w:rFonts w:ascii="Times" w:hAnsi="Times"/>
          <w:color w:val="000000" w:themeColor="text1"/>
        </w:rPr>
        <w:fldChar w:fldCharType="separate"/>
      </w:r>
      <w:r w:rsidR="00232F09" w:rsidRPr="00F123AE">
        <w:rPr>
          <w:rFonts w:ascii="Times" w:hAnsi="Times"/>
          <w:noProof/>
          <w:color w:val="000000" w:themeColor="text1"/>
        </w:rPr>
        <w:t>(Bartenhagen, 2018)</w:t>
      </w:r>
      <w:r w:rsidRPr="00F123AE">
        <w:rPr>
          <w:rFonts w:ascii="Times" w:hAnsi="Times"/>
          <w:color w:val="000000" w:themeColor="text1"/>
        </w:rPr>
        <w:fldChar w:fldCharType="end"/>
      </w:r>
      <w:r w:rsidRPr="00F123AE">
        <w:rPr>
          <w:rFonts w:ascii="Times" w:hAnsi="Times"/>
          <w:color w:val="000000" w:themeColor="text1"/>
        </w:rPr>
        <w:t xml:space="preserve"> in R (version 3.5.1). Four types of SVs including deletions, insertions, inversions, and duplications were simulated for 2,500 SVs each with the size ranging from 1 to 10,000 bp distributed randomly across ten chromosomes. The SV-simulated FASTA of each genotype was then simulated to FASTQ sequence reads via </w:t>
      </w:r>
      <w:proofErr w:type="spellStart"/>
      <w:r w:rsidRPr="00F123AE">
        <w:rPr>
          <w:rFonts w:ascii="Times" w:hAnsi="Times"/>
          <w:color w:val="000000" w:themeColor="text1"/>
        </w:rPr>
        <w:t>WgSim</w:t>
      </w:r>
      <w:proofErr w:type="spellEnd"/>
      <w:r w:rsidRPr="00F123AE">
        <w:rPr>
          <w:rFonts w:ascii="Times" w:hAnsi="Times"/>
          <w:color w:val="000000" w:themeColor="text1"/>
        </w:rPr>
        <w:t xml:space="preserve"> </w:t>
      </w:r>
      <w:r w:rsidRPr="00F123AE">
        <w:rPr>
          <w:rFonts w:ascii="Times" w:hAnsi="Times"/>
          <w:color w:val="000000" w:themeColor="text1"/>
        </w:rPr>
        <w:fldChar w:fldCharType="begin" w:fldLock="1"/>
      </w:r>
      <w:r w:rsidR="00232F09" w:rsidRPr="00F123AE">
        <w:rPr>
          <w:rFonts w:ascii="Times" w:hAnsi="Times"/>
          <w:color w:val="000000" w:themeColor="text1"/>
        </w:rPr>
        <w:instrText>ADDIN CSL_CITATION {"citationItems":[{"id":"ITEM-1","itemData":{"author":[{"dropping-particle":"","family":"Li","given":"Heng","non-dropping-particle":"","parse-names":false,"suffix":""}],"container-title":"Github Repository","id":"ITEM-1","issued":{"date-parts":[["2011"]]},"title":"wgsim-Read simulator for next generation sequencing","type":"article-journal"},"uris":["http://www.mendeley.com/documents/?uuid=7fb75a04-4630-49c5-afda-08efe7371466"]}],"mendeley":{"formattedCitation":"(Li, 2011)","plainTextFormattedCitation":"(Li, 2011)","previouslyFormattedCitation":"(Li 2011)"},"properties":{"noteIndex":0},"schema":"https://github.com/citation-style-language/schema/raw/master/csl-citation.json"}</w:instrText>
      </w:r>
      <w:r w:rsidRPr="00F123AE">
        <w:rPr>
          <w:rFonts w:ascii="Times" w:hAnsi="Times"/>
          <w:color w:val="000000" w:themeColor="text1"/>
        </w:rPr>
        <w:fldChar w:fldCharType="separate"/>
      </w:r>
      <w:r w:rsidR="00232F09" w:rsidRPr="00F123AE">
        <w:rPr>
          <w:rFonts w:ascii="Times" w:hAnsi="Times"/>
          <w:noProof/>
          <w:color w:val="000000" w:themeColor="text1"/>
        </w:rPr>
        <w:t>(Li, 2011)</w:t>
      </w:r>
      <w:r w:rsidRPr="00F123AE">
        <w:rPr>
          <w:rFonts w:ascii="Times" w:hAnsi="Times"/>
          <w:color w:val="000000" w:themeColor="text1"/>
        </w:rPr>
        <w:fldChar w:fldCharType="end"/>
      </w:r>
      <w:r w:rsidRPr="00F123AE">
        <w:rPr>
          <w:rFonts w:ascii="Times" w:hAnsi="Times"/>
          <w:color w:val="000000" w:themeColor="text1"/>
        </w:rPr>
        <w:t xml:space="preserve"> with 125 pb read length and three coverage depths (20, 100, and 200X). These simulated FASTQ sequences were proceeded through the pipeline of SV calling via lumpy. The SVs with imprecise flags, depth less than 10X and pe &lt; 3 were removed. The called SVs were compared and determined how many overlapped with the simulated SVs (true positive), simulated but not detected by the caller (false negative), and not simulated but detected by the caller (false positive).</w:t>
      </w:r>
    </w:p>
    <w:p w14:paraId="4421EC14" w14:textId="646A946E" w:rsidR="00DD5E60" w:rsidRPr="00F123AE" w:rsidRDefault="00DD5E60" w:rsidP="00827255">
      <w:pPr>
        <w:spacing w:line="480" w:lineRule="auto"/>
        <w:rPr>
          <w:rFonts w:ascii="Times" w:hAnsi="Times"/>
        </w:rPr>
      </w:pPr>
    </w:p>
    <w:p w14:paraId="4343D50F" w14:textId="77777777" w:rsidR="00DD5E60" w:rsidRPr="00F123AE" w:rsidRDefault="00DD5E60" w:rsidP="00020AA7">
      <w:pPr>
        <w:spacing w:line="480" w:lineRule="auto"/>
        <w:rPr>
          <w:rFonts w:ascii="Times" w:hAnsi="Times"/>
          <w:b/>
          <w:bCs/>
          <w:color w:val="000000" w:themeColor="text1"/>
        </w:rPr>
      </w:pPr>
      <w:r w:rsidRPr="00F123AE">
        <w:rPr>
          <w:rFonts w:ascii="Times" w:hAnsi="Times"/>
          <w:b/>
          <w:bCs/>
          <w:color w:val="000000" w:themeColor="text1"/>
        </w:rPr>
        <w:t>The read coverage at 20X was acceptable to call SVs from the simulation.</w:t>
      </w:r>
    </w:p>
    <w:p w14:paraId="1C516B4E" w14:textId="448397E3" w:rsidR="00DD5E60" w:rsidRPr="00F123AE" w:rsidRDefault="00DD5E60" w:rsidP="00827255">
      <w:pPr>
        <w:spacing w:line="480" w:lineRule="auto"/>
        <w:ind w:firstLine="630"/>
        <w:rPr>
          <w:rFonts w:ascii="Times" w:hAnsi="Times"/>
          <w:color w:val="000000" w:themeColor="text1"/>
        </w:rPr>
      </w:pPr>
      <w:r w:rsidRPr="00F123AE">
        <w:rPr>
          <w:rFonts w:ascii="Times" w:hAnsi="Times"/>
          <w:color w:val="000000" w:themeColor="text1"/>
        </w:rPr>
        <w:t>To determine how reliable the SV calling pipeline performs at different depths (20X, 100X, and 200X), the simulations of SVs were conducted on two reference genomes of BTx623 and Rio. In both genotypes, 20X depth, which is the average depth used in BAP, called only 2558 and 2706 SVs but overlapped with 9471 and 9602 with 0.79 and 0.84 sensitivities, 0.78 and 0.79 accuracy, and 0.77 and 0.75 precision in BTx623 and Rio, respectively (Supplement</w:t>
      </w:r>
      <w:r w:rsidR="00962827">
        <w:rPr>
          <w:rFonts w:ascii="Times" w:hAnsi="Times"/>
          <w:color w:val="000000" w:themeColor="text1"/>
        </w:rPr>
        <w:t>al</w:t>
      </w:r>
      <w:r w:rsidRPr="00F123AE">
        <w:rPr>
          <w:rFonts w:ascii="Times" w:hAnsi="Times"/>
          <w:color w:val="000000" w:themeColor="text1"/>
        </w:rPr>
        <w:t xml:space="preserve"> table </w:t>
      </w:r>
      <w:r w:rsidR="008308C0">
        <w:rPr>
          <w:rFonts w:ascii="Times" w:hAnsi="Times"/>
          <w:color w:val="000000" w:themeColor="text1"/>
        </w:rPr>
        <w:t>8</w:t>
      </w:r>
      <w:r w:rsidRPr="00F123AE">
        <w:rPr>
          <w:rFonts w:ascii="Times" w:hAnsi="Times"/>
          <w:color w:val="000000" w:themeColor="text1"/>
        </w:rPr>
        <w:t xml:space="preserve">). Expectedly, when increase the depth to 100X, the total SV calls, sensitivities, and accuracies increased from 20X, but little decreased in precision. However, 200X performed unprecedentedly that the BTx623 dropped in total SV calls, sensitivity, accuracy, and precision even lower than at 20X. Whereas, Rio at 200X did not improved from 100X but still better than </w:t>
      </w:r>
      <w:r w:rsidRPr="00F123AE">
        <w:rPr>
          <w:rFonts w:ascii="Times" w:hAnsi="Times"/>
          <w:color w:val="000000" w:themeColor="text1"/>
        </w:rPr>
        <w:lastRenderedPageBreak/>
        <w:t xml:space="preserve">20X. This suggested the optimal depth for future study with this pipeline should have the coverage at least 100X for better sensitivity and accuracy. </w:t>
      </w:r>
    </w:p>
    <w:p w14:paraId="00D6EE54" w14:textId="325A481A" w:rsidR="00D6236F" w:rsidRPr="00F123AE" w:rsidRDefault="00D6236F" w:rsidP="00827255">
      <w:pPr>
        <w:spacing w:line="480" w:lineRule="auto"/>
        <w:ind w:firstLine="630"/>
        <w:rPr>
          <w:rFonts w:ascii="Times" w:hAnsi="Times"/>
          <w:color w:val="000000" w:themeColor="text1"/>
        </w:rPr>
      </w:pPr>
      <w:r w:rsidRPr="00F123AE">
        <w:rPr>
          <w:rFonts w:ascii="Times" w:hAnsi="Times"/>
          <w:color w:val="000000" w:themeColor="text1"/>
        </w:rPr>
        <w:t xml:space="preserve">The simulation suggested increasing coverage can improve both sensitivity and accuracy. The higher coverage were proven to increase sensitivity at low coverage (&lt;10X) </w:t>
      </w:r>
      <w:r w:rsidRPr="00F123AE">
        <w:rPr>
          <w:rFonts w:ascii="Times" w:hAnsi="Times"/>
          <w:color w:val="000000" w:themeColor="text1"/>
        </w:rPr>
        <w:fldChar w:fldCharType="begin" w:fldLock="1"/>
      </w:r>
      <w:r w:rsidR="00232F09" w:rsidRPr="00F123AE">
        <w:rPr>
          <w:rFonts w:ascii="Times" w:hAnsi="Times"/>
          <w:color w:val="000000" w:themeColor="text1"/>
        </w:rPr>
        <w:instrText>ADDIN CSL_CITATION {"citationItems":[{"id":"ITEM-1","itemData":{"DOI":"10.1186/1471-2105-13-s6-s6","ISSN":"14712105","abstract":"Recent advances in sequencing technologies make it possible to comprehensively study structural variations (SVs) using sequence data of large-scale populations. Currently, more efforts have been taken to develop methods that call SVs with exact breakpoints. Among these approaches, split-read mapping methods can be applied on low-coverage sequence data. With increasing amount of data generated, more efficient split-read mapping methods are still needed. Also, since sequence errors can not be avoided for the current sequencing technologies, more accurate split-read mapping methods are still needed to better handle sequence errors. In this paper, we present a split-read mapping method implemented in the program SVseq2 which improves our previous work SVseq1. Similar to SVseq1, SVseq2 calls deletions (and insertions) with exact breakpoints. SVseq2 achieves more accurate calling through split-read mapping within focal regions. SVseq2 also has a much desired feature: there is no need to specify the maximum deletion size, while some existing split-read mapping methods need more memory and longer running time when larger maximum deletion size is chosen. SVseq2 is also much faster because it only needs to examine a small number of ways of splitting the reads. Moreover, SVseq2 supports insertion calling from low-coverage sequence data, while SVseq1 only supports deletion finding. The program SVseq2 can be downloaded at http://www.engr.uconn.edu/~jiz08001/. SVseq2 enables accurate and efficient SV calling through split-read mapping within focal regions using paired-end reads. For many simulated data and real sequence data, SVseq2 outperforms some other existing approaches in accuracy and efficiency, especially when sequence coverage is low.","author":[{"dropping-particle":"","family":"Zhang","given":"Jin","non-dropping-particle":"","parse-names":false,"suffix":""},{"dropping-particle":"","family":"Wang","given":"Jiayin","non-dropping-particle":"","parse-names":false,"suffix":""},{"dropping-particle":"","family":"Wu","given":"Yufeng","non-dropping-particle":"","parse-names":false,"suffix":""}],"container-title":"BMC bioinformatics","id":"ITEM-1","issue":"6","issued":{"date-parts":[["2012","4","19"]]},"page":"1-11","publisher":"BioMed Central","title":"An improved approach for accurate and efficient calling of structural variations with low-coverage sequence data.","type":"article-journal","volume":"13 Suppl 6"},"uris":["http://www.mendeley.com/documents/?uuid=9679b86a-4e0e-3042-be84-c4d8aaf2c54b"]}],"mendeley":{"formattedCitation":"(Zhang et al., 2012)","plainTextFormattedCitation":"(Zhang et al., 2012)","previouslyFormattedCitation":"(Zhang &lt;i&gt;et al.&lt;/i&gt; 2012)"},"properties":{"noteIndex":0},"schema":"https://github.com/citation-style-language/schema/raw/master/csl-citation.json"}</w:instrText>
      </w:r>
      <w:r w:rsidRPr="00F123AE">
        <w:rPr>
          <w:rFonts w:ascii="Times" w:hAnsi="Times"/>
          <w:color w:val="000000" w:themeColor="text1"/>
        </w:rPr>
        <w:fldChar w:fldCharType="separate"/>
      </w:r>
      <w:r w:rsidR="00232F09" w:rsidRPr="00F123AE">
        <w:rPr>
          <w:rFonts w:ascii="Times" w:hAnsi="Times"/>
          <w:noProof/>
          <w:color w:val="000000" w:themeColor="text1"/>
        </w:rPr>
        <w:t>(Zhang et al., 2012)</w:t>
      </w:r>
      <w:r w:rsidRPr="00F123AE">
        <w:rPr>
          <w:rFonts w:ascii="Times" w:hAnsi="Times"/>
          <w:color w:val="000000" w:themeColor="text1"/>
        </w:rPr>
        <w:fldChar w:fldCharType="end"/>
      </w:r>
      <w:r w:rsidRPr="00F123AE">
        <w:rPr>
          <w:rFonts w:ascii="Times" w:hAnsi="Times"/>
          <w:color w:val="000000" w:themeColor="text1"/>
        </w:rPr>
        <w:t xml:space="preserve"> and at 40X </w:t>
      </w:r>
      <w:r w:rsidRPr="00F123AE">
        <w:rPr>
          <w:rFonts w:ascii="Times" w:hAnsi="Times"/>
          <w:color w:val="000000" w:themeColor="text1"/>
        </w:rPr>
        <w:fldChar w:fldCharType="begin" w:fldLock="1"/>
      </w:r>
      <w:r w:rsidR="00232F09" w:rsidRPr="00F123AE">
        <w:rPr>
          <w:rFonts w:ascii="Times" w:hAnsi="Times"/>
          <w:color w:val="000000" w:themeColor="text1"/>
        </w:rPr>
        <w:instrText>ADDIN CSL_CITATION {"citationItems":[{"id":"ITEM-1","itemData":{"DOI":"10.1186/1471-2105-12-S14-S7","ISSN":"14712105","abstract":"Structural variations (SVs) change the structure of the genome and are therefore the causes of various diseases. Next-generation sequencing allows us to obtain a multitude of sequence data, some of which can be used to infer the position of SVs. We developed a new method and implementation named ClipCrop for detecting SVs with single-base resolution using soft-clipping information. A soft-clipped sequence is an unmatched fragment in a partially mapped read. To assess the performance of ClipCrop with other SV-detecting tools, we generated various patterns of simulation data - SV lengths, read lengths, and the depth of coverage of short reads - with insertions, deletions, tandem duplications, inversions and single nucleotide alterations in a human chromosome. For comparison, we selected BreakDancer, CNVnator and Pindel, each of which adopts a different approach to detect SVs, e.g. discordant pair approach, depth of coverage approach and split read approach, respectively. Our method outperformed BreakDancer and CNVnator in both discovering rate and call accuracy in any type of SV. Pindel offered a similar performance as our method, but our method crucially outperformed for detecting small duplications. From our experiments, ClipCrop infer reliable SVs for the data set with more than 50 bases read lengths and 20x depth of coverage, both of which are reasonable values in current NGS data set. ClipCrop can detect SVs with higher discovering rate and call accuracy than any other tool in our simulation data set.","author":[{"dropping-particle":"","family":"Suzuki","given":"Shin","non-dropping-particle":"","parse-names":false,"suffix":""},{"dropping-particle":"","family":"Yasuda","given":"Tomohiro","non-dropping-particle":"","parse-names":false,"suffix":""},{"dropping-particle":"","family":"Shiraishi","given":"Yuichi","non-dropping-particle":"","parse-names":false,"suffix":""},{"dropping-particle":"","family":"Miyano","given":"Satoru","non-dropping-particle":"","parse-names":false,"suffix":""},{"dropping-particle":"","family":"Nagasaki","given":"Masao","non-dropping-particle":"","parse-names":false,"suffix":""}],"container-title":"BMC bioinformatics","id":"ITEM-1","issue":"Suppl 14","issued":{"date-parts":[["2011","12","14"]]},"page":"S7","publisher":"BioMed Central","title":"ClipCrop: a tool for detecting structural variations with single-base resolution using soft-clipping information.","type":"article-journal","volume":"12 Suppl 14"},"uris":["http://www.mendeley.com/documents/?uuid=8d51cbad-6f35-334a-ab90-4d496d1d0127"]},{"id":"ITEM-2","itemData":{"DOI":"10.1002/gepi.22015","ISSN":"10982272","abstract":"Next-generation sequencing-based genetic association study (GAS) is a powerful tool to identify candidate disease variants and genomic regions. Although low-coverage sequencing offers low cost but inadequacy in calling rare variants, high coverage is able to detect essentially every variant but at a high cost. Two-stage sequencing may be an economical way to conduct GAS without losing power. In two-stage sequencing, an affordable number of samples are sequenced at high coverage as the reference panel, then to impute in a larger sample is sequenced at low coverage. As unit sequencing costs continue to decrease, investigators can now conduct GAS with more flexible sequencing depths. Here, we systematically evaluate the effect of the read depth and sample size on the variant discovery power and association power for study designs using low-coverage, high-coverage, and two-stage sequencing. We consider 12 low-coverage, 12 high-coverage, and 51 two-stage design scenarios with the read depth varying from 0.5× to 80×. With state-of-the-art simulation and analysis packages and in-house scripts, we simulate the complete study process from DNA sequencing to SNP (single nucleotide polymorphism) calling and association testing. Our results show that with appropriate allocation of sequencing effort, two-stage sequencing is an effective approach for conducting GAS. We provide practical guidelines for investigators to plan the optimum sequencing-based GAS including two-stage sequencing design given their specific constraints of sequencing investment.","author":[{"dropping-particle":"","family":"Xu","given":"Chao","non-dropping-particle":"","parse-names":false,"suffix":""},{"dropping-particle":"","family":"Wu","given":"Kehao","non-dropping-particle":"","parse-names":false,"suffix":""},{"dropping-particle":"","family":"Zhang","given":"Ji Gang","non-dropping-particle":"","parse-names":false,"suffix":""},{"dropping-particle":"","family":"Shen","given":"Hui","non-dropping-particle":"","parse-names":false,"suffix":""},{"dropping-particle":"","family":"Deng","given":"Hong Wen","non-dropping-particle":"","parse-names":false,"suffix":""}],"container-title":"Genetic Epidemiology","id":"ITEM-2","issue":"3","issued":{"date-parts":[["2017","4","1"]]},"page":"187-197","publisher":"Wiley-Liss Inc.","title":"Low-, high-coverage, and two-stage DNA sequencing in the design of the genetic association study","type":"article-journal","volume":"41"},"uris":["http://www.mendeley.com/documents/?uuid=20ad1804-f8bc-317c-b004-e9fd13507ac1"]}],"mendeley":{"formattedCitation":"(Suzuki et al., 2011; Xu et al., 2017)","plainTextFormattedCitation":"(Suzuki et al., 2011; Xu et al., 2017)","previouslyFormattedCitation":"(Suzuki &lt;i&gt;et al.&lt;/i&gt; 2011; Xu &lt;i&gt;et al.&lt;/i&gt; 2017)"},"properties":{"noteIndex":0},"schema":"https://github.com/citation-style-language/schema/raw/master/csl-citation.json"}</w:instrText>
      </w:r>
      <w:r w:rsidRPr="00F123AE">
        <w:rPr>
          <w:rFonts w:ascii="Times" w:hAnsi="Times"/>
          <w:color w:val="000000" w:themeColor="text1"/>
        </w:rPr>
        <w:fldChar w:fldCharType="separate"/>
      </w:r>
      <w:r w:rsidR="00232F09" w:rsidRPr="00F123AE">
        <w:rPr>
          <w:rFonts w:ascii="Times" w:hAnsi="Times"/>
          <w:noProof/>
          <w:color w:val="000000" w:themeColor="text1"/>
        </w:rPr>
        <w:t>(Suzuki et al., 2011; Xu et al., 2017)</w:t>
      </w:r>
      <w:r w:rsidRPr="00F123AE">
        <w:rPr>
          <w:rFonts w:ascii="Times" w:hAnsi="Times"/>
          <w:color w:val="000000" w:themeColor="text1"/>
        </w:rPr>
        <w:fldChar w:fldCharType="end"/>
      </w:r>
      <w:r w:rsidRPr="00F123AE">
        <w:rPr>
          <w:rFonts w:ascii="Times" w:hAnsi="Times"/>
          <w:color w:val="000000" w:themeColor="text1"/>
        </w:rPr>
        <w:t xml:space="preserve">. The other simulation also showed a sharp improvement in sensitivity 20X to 90X and reach plateau after 120X </w:t>
      </w:r>
      <w:r w:rsidRPr="00F123AE">
        <w:rPr>
          <w:rFonts w:ascii="Times" w:hAnsi="Times"/>
          <w:color w:val="000000" w:themeColor="text1"/>
        </w:rPr>
        <w:fldChar w:fldCharType="begin" w:fldLock="1"/>
      </w:r>
      <w:r w:rsidR="00232F09" w:rsidRPr="00F123AE">
        <w:rPr>
          <w:rFonts w:ascii="Times" w:hAnsi="Times"/>
          <w:color w:val="000000" w:themeColor="text1"/>
        </w:rPr>
        <w:instrText>ADDIN CSL_CITATION {"citationItems":[{"id":"ITEM-1","itemData":{"DOI":"10.1093/nar/gkz806","ISSN":"0305-1048","abstract":"Forward genetic screens have successfully identified many genes and continue to be powerful tools for dissecting biological processes in Arabidopsis and other model species. Next-generation sequencing technologies have revolutionized the time-consuming process of identifying the mutations that cause a phenotype of interest. However, due to the cost of such mapping-by-sequencing experiments, special attention should be paid to experimental design and technical decisions so that the read data allows to map the desired mutation. Here, we simulated different mapping-by-sequencing scenarios. We first evaluated which short-read technology was best suited for analyzing gene-rich genomic regions in Arabidopsis and determined the minimum sequencing depth required to confidently call single nucleotide variants. We also designed ways to discriminate mutagenesis-induced mutations from background Single Nucleotide Polymorphisms in mutants isolated in Arabidopsis non-reference lines. In addition, we simulated bulked segregant mapping populations for identifying point mutations and monitored how the size of the mapping population and the sequencing depth affect mapping precision. Finally, we provide the computational basis of a protocol that we already used to map T-DNA insertions with paired-end Illumina-like reads, using very low sequencing depths and pooling several mutants together; this approach can also be used with single-end reads as well as to map any other insertional mutagen. All these simulations proved useful for designing experiments that allowed us to map several mutations in Arabidopsis.","author":[{"dropping-particle":"","family":"Wilson-Sánchez","given":"David","non-dropping-particle":"","parse-names":false,"suffix":""},{"dropping-particle":"","family":"Lup","given":"Samuel Daniel","non-dropping-particle":"","parse-names":false,"suffix":""},{"dropping-particle":"","family":"Sarmiento-Mañús","given":"Raquel","non-dropping-particle":"","parse-names":false,"suffix":""},{"dropping-particle":"","family":"Ponce","given":"María Rosa","non-dropping-particle":"","parse-names":false,"suffix":""},{"dropping-particle":"","family":"Micol","given":"José Luis","non-dropping-particle":"","parse-names":false,"suffix":""}],"container-title":"Nucleic Acids Research","id":"ITEM-1","issue":"21","issued":{"date-parts":[["2019","9","23"]]},"page":"e140-e140","title":"Next-generation forward genetic screens: using simulated data to improve the design of mapping-by-sequencing experiments in Arabidopsis","type":"article-journal","volume":"47"},"uris":["http://www.mendeley.com/documents/?uuid=92562cf8-d3f9-4f63-9bad-3d7d25f49825"]}],"mendeley":{"formattedCitation":"(Wilson-Sánchez et al., 2019)","plainTextFormattedCitation":"(Wilson-Sánchez et al., 2019)","previouslyFormattedCitation":"(Wilson-Sánchez &lt;i&gt;et al.&lt;/i&gt; 2019)"},"properties":{"noteIndex":0},"schema":"https://github.com/citation-style-language/schema/raw/master/csl-citation.json"}</w:instrText>
      </w:r>
      <w:r w:rsidRPr="00F123AE">
        <w:rPr>
          <w:rFonts w:ascii="Times" w:hAnsi="Times"/>
          <w:color w:val="000000" w:themeColor="text1"/>
        </w:rPr>
        <w:fldChar w:fldCharType="separate"/>
      </w:r>
      <w:r w:rsidR="00232F09" w:rsidRPr="00F123AE">
        <w:rPr>
          <w:rFonts w:ascii="Times" w:hAnsi="Times"/>
          <w:noProof/>
          <w:color w:val="000000" w:themeColor="text1"/>
        </w:rPr>
        <w:t>(Wilson-Sánchez et al., 2019)</w:t>
      </w:r>
      <w:r w:rsidRPr="00F123AE">
        <w:rPr>
          <w:rFonts w:ascii="Times" w:hAnsi="Times"/>
          <w:color w:val="000000" w:themeColor="text1"/>
        </w:rPr>
        <w:fldChar w:fldCharType="end"/>
      </w:r>
      <w:r w:rsidRPr="00F123AE">
        <w:rPr>
          <w:rFonts w:ascii="Times" w:hAnsi="Times"/>
          <w:color w:val="000000" w:themeColor="text1"/>
        </w:rPr>
        <w:t xml:space="preserve">. However, at low coverage simulation, there was no improvement in accuracy when the coverage increased </w:t>
      </w:r>
      <w:r w:rsidRPr="00F123AE">
        <w:rPr>
          <w:rFonts w:ascii="Times" w:hAnsi="Times"/>
          <w:color w:val="000000" w:themeColor="text1"/>
        </w:rPr>
        <w:fldChar w:fldCharType="begin" w:fldLock="1"/>
      </w:r>
      <w:r w:rsidR="00232F09" w:rsidRPr="00F123AE">
        <w:rPr>
          <w:rFonts w:ascii="Times" w:hAnsi="Times"/>
          <w:color w:val="000000" w:themeColor="text1"/>
        </w:rPr>
        <w:instrText>ADDIN CSL_CITATION {"citationItems":[{"id":"ITEM-1","itemData":{"DOI":"10.1186/1471-2105-13-s6-s6","ISSN":"14712105","abstract":"Recent advances in sequencing technologies make it possible to comprehensively study structural variations (SVs) using sequence data of large-scale populations. Currently, more efforts have been taken to develop methods that call SVs with exact breakpoints. Among these approaches, split-read mapping methods can be applied on low-coverage sequence data. With increasing amount of data generated, more efficient split-read mapping methods are still needed. Also, since sequence errors can not be avoided for the current sequencing technologies, more accurate split-read mapping methods are still needed to better handle sequence errors. In this paper, we present a split-read mapping method implemented in the program SVseq2 which improves our previous work SVseq1. Similar to SVseq1, SVseq2 calls deletions (and insertions) with exact breakpoints. SVseq2 achieves more accurate calling through split-read mapping within focal regions. SVseq2 also has a much desired feature: there is no need to specify the maximum deletion size, while some existing split-read mapping methods need more memory and longer running time when larger maximum deletion size is chosen. SVseq2 is also much faster because it only needs to examine a small number of ways of splitting the reads. Moreover, SVseq2 supports insertion calling from low-coverage sequence data, while SVseq1 only supports deletion finding. The program SVseq2 can be downloaded at http://www.engr.uconn.edu/~jiz08001/. SVseq2 enables accurate and efficient SV calling through split-read mapping within focal regions using paired-end reads. For many simulated data and real sequence data, SVseq2 outperforms some other existing approaches in accuracy and efficiency, especially when sequence coverage is low.","author":[{"dropping-particle":"","family":"Zhang","given":"Jin","non-dropping-particle":"","parse-names":false,"suffix":""},{"dropping-particle":"","family":"Wang","given":"Jiayin","non-dropping-particle":"","parse-names":false,"suffix":""},{"dropping-particle":"","family":"Wu","given":"Yufeng","non-dropping-particle":"","parse-names":false,"suffix":""}],"container-title":"BMC bioinformatics","id":"ITEM-1","issue":"6","issued":{"date-parts":[["2012","4","19"]]},"page":"1-11","publisher":"BioMed Central","title":"An improved approach for accurate and efficient calling of structural variations with low-coverage sequence data.","type":"article-journal","volume":"13 Suppl 6"},"uris":["http://www.mendeley.com/documents/?uuid=9679b86a-4e0e-3042-be84-c4d8aaf2c54b"]}],"mendeley":{"formattedCitation":"(Zhang et al., 2012)","plainTextFormattedCitation":"(Zhang et al., 2012)","previouslyFormattedCitation":"(Zhang &lt;i&gt;et al.&lt;/i&gt; 2012)"},"properties":{"noteIndex":0},"schema":"https://github.com/citation-style-language/schema/raw/master/csl-citation.json"}</w:instrText>
      </w:r>
      <w:r w:rsidRPr="00F123AE">
        <w:rPr>
          <w:rFonts w:ascii="Times" w:hAnsi="Times"/>
          <w:color w:val="000000" w:themeColor="text1"/>
        </w:rPr>
        <w:fldChar w:fldCharType="separate"/>
      </w:r>
      <w:r w:rsidR="00232F09" w:rsidRPr="00F123AE">
        <w:rPr>
          <w:rFonts w:ascii="Times" w:hAnsi="Times"/>
          <w:noProof/>
          <w:color w:val="000000" w:themeColor="text1"/>
        </w:rPr>
        <w:t>(Zhang et al., 2012)</w:t>
      </w:r>
      <w:r w:rsidRPr="00F123AE">
        <w:rPr>
          <w:rFonts w:ascii="Times" w:hAnsi="Times"/>
          <w:color w:val="000000" w:themeColor="text1"/>
        </w:rPr>
        <w:fldChar w:fldCharType="end"/>
      </w:r>
      <w:r w:rsidRPr="00F123AE">
        <w:rPr>
          <w:rFonts w:ascii="Times" w:hAnsi="Times"/>
          <w:color w:val="000000" w:themeColor="text1"/>
        </w:rPr>
        <w:t>.</w:t>
      </w:r>
    </w:p>
    <w:p w14:paraId="67CD1FA4" w14:textId="05A15EFC" w:rsidR="00DD5E60" w:rsidRPr="00F123AE" w:rsidRDefault="00DD5E60" w:rsidP="00827255">
      <w:pPr>
        <w:pStyle w:val="ListParagraph"/>
        <w:spacing w:line="480" w:lineRule="auto"/>
        <w:rPr>
          <w:rFonts w:ascii="Times" w:hAnsi="Times"/>
        </w:rPr>
      </w:pPr>
    </w:p>
    <w:p w14:paraId="29FAA2CB" w14:textId="77777777" w:rsidR="00232F09" w:rsidRPr="00F123AE" w:rsidRDefault="00232F09" w:rsidP="00827255">
      <w:pPr>
        <w:spacing w:line="480" w:lineRule="auto"/>
        <w:ind w:firstLine="480"/>
        <w:rPr>
          <w:rFonts w:ascii="Times" w:hAnsi="Times"/>
          <w:b/>
          <w:bCs/>
          <w:color w:val="000000" w:themeColor="text1"/>
        </w:rPr>
      </w:pPr>
      <w:r w:rsidRPr="00F123AE">
        <w:rPr>
          <w:rFonts w:ascii="Times" w:hAnsi="Times"/>
          <w:b/>
          <w:bCs/>
          <w:color w:val="000000" w:themeColor="text1"/>
        </w:rPr>
        <w:t>Literature cited</w:t>
      </w:r>
    </w:p>
    <w:p w14:paraId="08166831" w14:textId="482261F7" w:rsidR="00232F09" w:rsidRPr="00F123AE" w:rsidRDefault="00232F09" w:rsidP="00827255">
      <w:pPr>
        <w:widowControl w:val="0"/>
        <w:autoSpaceDE w:val="0"/>
        <w:autoSpaceDN w:val="0"/>
        <w:adjustRightInd w:val="0"/>
        <w:spacing w:line="480" w:lineRule="auto"/>
        <w:ind w:left="480" w:hanging="480"/>
        <w:rPr>
          <w:rFonts w:ascii="Times" w:hAnsi="Times" w:cs="Calibri"/>
          <w:noProof/>
          <w:szCs w:val="24"/>
        </w:rPr>
      </w:pPr>
      <w:r w:rsidRPr="00F123AE">
        <w:rPr>
          <w:rFonts w:ascii="Times" w:hAnsi="Times"/>
        </w:rPr>
        <w:fldChar w:fldCharType="begin" w:fldLock="1"/>
      </w:r>
      <w:r w:rsidRPr="00F123AE">
        <w:rPr>
          <w:rFonts w:ascii="Times" w:hAnsi="Times"/>
        </w:rPr>
        <w:instrText xml:space="preserve">ADDIN Mendeley Bibliography CSL_BIBLIOGRAPHY </w:instrText>
      </w:r>
      <w:r w:rsidRPr="00F123AE">
        <w:rPr>
          <w:rFonts w:ascii="Times" w:hAnsi="Times"/>
        </w:rPr>
        <w:fldChar w:fldCharType="separate"/>
      </w:r>
      <w:r w:rsidRPr="00F123AE">
        <w:rPr>
          <w:rFonts w:ascii="Times" w:hAnsi="Times" w:cs="Calibri"/>
          <w:noProof/>
          <w:szCs w:val="24"/>
        </w:rPr>
        <w:t xml:space="preserve">Bartenhagen, C. (2018). </w:t>
      </w:r>
      <w:r w:rsidRPr="00F123AE">
        <w:rPr>
          <w:rFonts w:ascii="Times" w:hAnsi="Times" w:cs="Calibri"/>
          <w:i/>
          <w:iCs/>
          <w:noProof/>
          <w:szCs w:val="24"/>
        </w:rPr>
        <w:t>RSVSim: an R/Bioconductor package for the simulation of structural variations</w:t>
      </w:r>
      <w:r w:rsidRPr="00F123AE">
        <w:rPr>
          <w:rFonts w:ascii="Times" w:hAnsi="Times" w:cs="Calibri"/>
          <w:noProof/>
          <w:szCs w:val="24"/>
        </w:rPr>
        <w:t>.</w:t>
      </w:r>
    </w:p>
    <w:p w14:paraId="5EA7E3AF" w14:textId="77777777" w:rsidR="00232F09" w:rsidRPr="00F123AE" w:rsidRDefault="00232F09" w:rsidP="00827255">
      <w:pPr>
        <w:widowControl w:val="0"/>
        <w:autoSpaceDE w:val="0"/>
        <w:autoSpaceDN w:val="0"/>
        <w:adjustRightInd w:val="0"/>
        <w:spacing w:line="480" w:lineRule="auto"/>
        <w:ind w:left="480" w:hanging="480"/>
        <w:rPr>
          <w:rFonts w:ascii="Times" w:hAnsi="Times" w:cs="Calibri"/>
          <w:noProof/>
          <w:szCs w:val="24"/>
        </w:rPr>
      </w:pPr>
      <w:r w:rsidRPr="00F123AE">
        <w:rPr>
          <w:rFonts w:ascii="Times" w:hAnsi="Times" w:cs="Calibri"/>
          <w:noProof/>
          <w:szCs w:val="24"/>
        </w:rPr>
        <w:t xml:space="preserve">Cooper, E. A., Brenton, Z. W., Flinn, B. S., Jenkins, J., Shu, S., Flowers, D., Luo, F., Wang, Y., Xia, P., Barry, K., Daum, C., Lipzen, A., Yoshinaga, Y., Schmutz, J., Saski, C., Vermerris, W., &amp; Kresovich, S. (2019). </w:t>
      </w:r>
      <w:r w:rsidRPr="00F123AE">
        <w:rPr>
          <w:rFonts w:ascii="Times" w:hAnsi="Times" w:cs="Calibri"/>
          <w:i/>
          <w:iCs/>
          <w:noProof/>
          <w:szCs w:val="24"/>
        </w:rPr>
        <w:t>A new reference genome for Sorghum bicolor reveals high levels of sequence similarity between sweet and grain genotypes</w:t>
      </w:r>
      <w:r w:rsidRPr="00F123AE">
        <w:rPr>
          <w:rFonts w:ascii="Times New Roman" w:hAnsi="Times New Roman" w:cs="Times New Roman"/>
          <w:i/>
          <w:iCs/>
          <w:noProof/>
          <w:szCs w:val="24"/>
        </w:rPr>
        <w:t> </w:t>
      </w:r>
      <w:r w:rsidRPr="00F123AE">
        <w:rPr>
          <w:rFonts w:ascii="Times" w:hAnsi="Times" w:cs="Calibri"/>
          <w:i/>
          <w:iCs/>
          <w:noProof/>
          <w:szCs w:val="24"/>
        </w:rPr>
        <w:t>: implications for the genetics of sugar metabolism</w:t>
      </w:r>
      <w:r w:rsidRPr="00F123AE">
        <w:rPr>
          <w:rFonts w:ascii="Times" w:hAnsi="Times" w:cs="Calibri"/>
          <w:noProof/>
          <w:szCs w:val="24"/>
        </w:rPr>
        <w:t>. 1–13.</w:t>
      </w:r>
    </w:p>
    <w:p w14:paraId="69D6A024" w14:textId="77777777" w:rsidR="00232F09" w:rsidRPr="00F123AE" w:rsidRDefault="00232F09" w:rsidP="00827255">
      <w:pPr>
        <w:widowControl w:val="0"/>
        <w:autoSpaceDE w:val="0"/>
        <w:autoSpaceDN w:val="0"/>
        <w:adjustRightInd w:val="0"/>
        <w:spacing w:line="480" w:lineRule="auto"/>
        <w:ind w:left="480" w:hanging="480"/>
        <w:rPr>
          <w:rFonts w:ascii="Times" w:hAnsi="Times" w:cs="Calibri"/>
          <w:noProof/>
          <w:szCs w:val="24"/>
        </w:rPr>
      </w:pPr>
      <w:r w:rsidRPr="00F123AE">
        <w:rPr>
          <w:rFonts w:ascii="Times" w:hAnsi="Times" w:cs="Calibri"/>
          <w:noProof/>
          <w:szCs w:val="24"/>
        </w:rPr>
        <w:t xml:space="preserve">Li, H. (2011). wgsim-Read simulator for next generation sequencing. </w:t>
      </w:r>
      <w:r w:rsidRPr="00F123AE">
        <w:rPr>
          <w:rFonts w:ascii="Times" w:hAnsi="Times" w:cs="Calibri"/>
          <w:i/>
          <w:iCs/>
          <w:noProof/>
          <w:szCs w:val="24"/>
        </w:rPr>
        <w:t>Github Repository</w:t>
      </w:r>
      <w:r w:rsidRPr="00F123AE">
        <w:rPr>
          <w:rFonts w:ascii="Times" w:hAnsi="Times" w:cs="Calibri"/>
          <w:noProof/>
          <w:szCs w:val="24"/>
        </w:rPr>
        <w:t>.</w:t>
      </w:r>
    </w:p>
    <w:p w14:paraId="69CA70AC" w14:textId="77777777" w:rsidR="00232F09" w:rsidRPr="00F123AE" w:rsidRDefault="00232F09" w:rsidP="00827255">
      <w:pPr>
        <w:widowControl w:val="0"/>
        <w:autoSpaceDE w:val="0"/>
        <w:autoSpaceDN w:val="0"/>
        <w:adjustRightInd w:val="0"/>
        <w:spacing w:line="480" w:lineRule="auto"/>
        <w:ind w:left="480" w:hanging="480"/>
        <w:rPr>
          <w:rFonts w:ascii="Times" w:hAnsi="Times" w:cs="Calibri"/>
          <w:noProof/>
          <w:szCs w:val="24"/>
        </w:rPr>
      </w:pPr>
      <w:r w:rsidRPr="00F123AE">
        <w:rPr>
          <w:rFonts w:ascii="Times" w:hAnsi="Times" w:cs="Calibri"/>
          <w:noProof/>
          <w:szCs w:val="24"/>
        </w:rPr>
        <w:t xml:space="preserve">Paterson, A. H., Bowers, J. E., Bruggmann, R., Dubchak, I., Grimwood, J., Gundlach, H., Haberer, G., Hellsten, U., Mitros, T., Poliakov, A., Schmutz, J., Spannagl, M., Tang, H., Wang, X., Wicker, T., Bharti, A. K., Chapman, J., Feltus, F. A., Gowik, U., … Rokhsar, D. S. (2009). The Sorghum bicolor genome and the diversification of grasses. </w:t>
      </w:r>
      <w:r w:rsidRPr="00F123AE">
        <w:rPr>
          <w:rFonts w:ascii="Times" w:hAnsi="Times" w:cs="Calibri"/>
          <w:i/>
          <w:iCs/>
          <w:noProof/>
          <w:szCs w:val="24"/>
        </w:rPr>
        <w:t>Nature</w:t>
      </w:r>
      <w:r w:rsidRPr="00F123AE">
        <w:rPr>
          <w:rFonts w:ascii="Times" w:hAnsi="Times" w:cs="Calibri"/>
          <w:noProof/>
          <w:szCs w:val="24"/>
        </w:rPr>
        <w:t>. https://doi.org/10.1038/nature07723</w:t>
      </w:r>
    </w:p>
    <w:p w14:paraId="16517065" w14:textId="77777777" w:rsidR="00232F09" w:rsidRPr="00F123AE" w:rsidRDefault="00232F09" w:rsidP="00827255">
      <w:pPr>
        <w:widowControl w:val="0"/>
        <w:autoSpaceDE w:val="0"/>
        <w:autoSpaceDN w:val="0"/>
        <w:adjustRightInd w:val="0"/>
        <w:spacing w:line="480" w:lineRule="auto"/>
        <w:ind w:left="480" w:hanging="480"/>
        <w:rPr>
          <w:rFonts w:ascii="Times" w:hAnsi="Times" w:cs="Calibri"/>
          <w:noProof/>
          <w:szCs w:val="24"/>
        </w:rPr>
      </w:pPr>
      <w:r w:rsidRPr="00F123AE">
        <w:rPr>
          <w:rFonts w:ascii="Times" w:hAnsi="Times" w:cs="Calibri"/>
          <w:noProof/>
          <w:szCs w:val="24"/>
        </w:rPr>
        <w:lastRenderedPageBreak/>
        <w:t xml:space="preserve">Suzuki, S., Yasuda, T., Shiraishi, Y., Miyano, S., &amp; Nagasaki, M. (2011). ClipCrop: a tool for detecting structural variations with single-base resolution using soft-clipping information. </w:t>
      </w:r>
      <w:r w:rsidRPr="00F123AE">
        <w:rPr>
          <w:rFonts w:ascii="Times" w:hAnsi="Times" w:cs="Calibri"/>
          <w:i/>
          <w:iCs/>
          <w:noProof/>
          <w:szCs w:val="24"/>
        </w:rPr>
        <w:t>BMC Bioinformatics</w:t>
      </w:r>
      <w:r w:rsidRPr="00F123AE">
        <w:rPr>
          <w:rFonts w:ascii="Times" w:hAnsi="Times" w:cs="Calibri"/>
          <w:noProof/>
          <w:szCs w:val="24"/>
        </w:rPr>
        <w:t xml:space="preserve">, </w:t>
      </w:r>
      <w:r w:rsidRPr="00F123AE">
        <w:rPr>
          <w:rFonts w:ascii="Times" w:hAnsi="Times" w:cs="Calibri"/>
          <w:i/>
          <w:iCs/>
          <w:noProof/>
          <w:szCs w:val="24"/>
        </w:rPr>
        <w:t>12 Suppl 14</w:t>
      </w:r>
      <w:r w:rsidRPr="00F123AE">
        <w:rPr>
          <w:rFonts w:ascii="Times" w:hAnsi="Times" w:cs="Calibri"/>
          <w:noProof/>
          <w:szCs w:val="24"/>
        </w:rPr>
        <w:t>(Suppl 14), S7. https://doi.org/10.1186/1471-2105-12-S14-S7</w:t>
      </w:r>
    </w:p>
    <w:p w14:paraId="4D519A79" w14:textId="77777777" w:rsidR="00232F09" w:rsidRPr="00F123AE" w:rsidRDefault="00232F09" w:rsidP="00827255">
      <w:pPr>
        <w:widowControl w:val="0"/>
        <w:autoSpaceDE w:val="0"/>
        <w:autoSpaceDN w:val="0"/>
        <w:adjustRightInd w:val="0"/>
        <w:spacing w:line="480" w:lineRule="auto"/>
        <w:ind w:left="480" w:hanging="480"/>
        <w:rPr>
          <w:rFonts w:ascii="Times" w:hAnsi="Times" w:cs="Calibri"/>
          <w:noProof/>
          <w:szCs w:val="24"/>
        </w:rPr>
      </w:pPr>
      <w:r w:rsidRPr="00F123AE">
        <w:rPr>
          <w:rFonts w:ascii="Times" w:hAnsi="Times" w:cs="Calibri"/>
          <w:noProof/>
          <w:szCs w:val="24"/>
        </w:rPr>
        <w:t xml:space="preserve">Wilson-Sánchez, D., Lup, S. D., Sarmiento-Mañús, R., Ponce, M. R., &amp; Micol, J. L. (2019). Next-generation forward genetic screens: using simulated data to improve the design of mapping-by-sequencing experiments in Arabidopsis. </w:t>
      </w:r>
      <w:r w:rsidRPr="00F123AE">
        <w:rPr>
          <w:rFonts w:ascii="Times" w:hAnsi="Times" w:cs="Calibri"/>
          <w:i/>
          <w:iCs/>
          <w:noProof/>
          <w:szCs w:val="24"/>
        </w:rPr>
        <w:t>Nucleic Acids Research</w:t>
      </w:r>
      <w:r w:rsidRPr="00F123AE">
        <w:rPr>
          <w:rFonts w:ascii="Times" w:hAnsi="Times" w:cs="Calibri"/>
          <w:noProof/>
          <w:szCs w:val="24"/>
        </w:rPr>
        <w:t xml:space="preserve">, </w:t>
      </w:r>
      <w:r w:rsidRPr="00F123AE">
        <w:rPr>
          <w:rFonts w:ascii="Times" w:hAnsi="Times" w:cs="Calibri"/>
          <w:i/>
          <w:iCs/>
          <w:noProof/>
          <w:szCs w:val="24"/>
        </w:rPr>
        <w:t>47</w:t>
      </w:r>
      <w:r w:rsidRPr="00F123AE">
        <w:rPr>
          <w:rFonts w:ascii="Times" w:hAnsi="Times" w:cs="Calibri"/>
          <w:noProof/>
          <w:szCs w:val="24"/>
        </w:rPr>
        <w:t>(21), e140–e140. https://doi.org/10.1093/nar/gkz806</w:t>
      </w:r>
    </w:p>
    <w:p w14:paraId="4E9FEE3F" w14:textId="77777777" w:rsidR="00232F09" w:rsidRPr="00F123AE" w:rsidRDefault="00232F09" w:rsidP="00827255">
      <w:pPr>
        <w:widowControl w:val="0"/>
        <w:autoSpaceDE w:val="0"/>
        <w:autoSpaceDN w:val="0"/>
        <w:adjustRightInd w:val="0"/>
        <w:spacing w:line="480" w:lineRule="auto"/>
        <w:ind w:left="480" w:hanging="480"/>
        <w:rPr>
          <w:rFonts w:ascii="Times" w:hAnsi="Times" w:cs="Calibri"/>
          <w:noProof/>
          <w:szCs w:val="24"/>
        </w:rPr>
      </w:pPr>
      <w:r w:rsidRPr="00F123AE">
        <w:rPr>
          <w:rFonts w:ascii="Times" w:hAnsi="Times" w:cs="Calibri"/>
          <w:noProof/>
          <w:szCs w:val="24"/>
        </w:rPr>
        <w:t xml:space="preserve">Xu, C., Wu, K., Zhang, J. G., Shen, H., &amp; Deng, H. W. (2017). Low-, high-coverage, and two-stage DNA sequencing in the design of the genetic association study. </w:t>
      </w:r>
      <w:r w:rsidRPr="00F123AE">
        <w:rPr>
          <w:rFonts w:ascii="Times" w:hAnsi="Times" w:cs="Calibri"/>
          <w:i/>
          <w:iCs/>
          <w:noProof/>
          <w:szCs w:val="24"/>
        </w:rPr>
        <w:t>Genetic Epidemiology</w:t>
      </w:r>
      <w:r w:rsidRPr="00F123AE">
        <w:rPr>
          <w:rFonts w:ascii="Times" w:hAnsi="Times" w:cs="Calibri"/>
          <w:noProof/>
          <w:szCs w:val="24"/>
        </w:rPr>
        <w:t xml:space="preserve">, </w:t>
      </w:r>
      <w:r w:rsidRPr="00F123AE">
        <w:rPr>
          <w:rFonts w:ascii="Times" w:hAnsi="Times" w:cs="Calibri"/>
          <w:i/>
          <w:iCs/>
          <w:noProof/>
          <w:szCs w:val="24"/>
        </w:rPr>
        <w:t>41</w:t>
      </w:r>
      <w:r w:rsidRPr="00F123AE">
        <w:rPr>
          <w:rFonts w:ascii="Times" w:hAnsi="Times" w:cs="Calibri"/>
          <w:noProof/>
          <w:szCs w:val="24"/>
        </w:rPr>
        <w:t>(3), 187–197. https://doi.org/10.1002/gepi.22015</w:t>
      </w:r>
    </w:p>
    <w:p w14:paraId="6883BC01" w14:textId="77777777" w:rsidR="00232F09" w:rsidRPr="00F123AE" w:rsidRDefault="00232F09" w:rsidP="00827255">
      <w:pPr>
        <w:widowControl w:val="0"/>
        <w:autoSpaceDE w:val="0"/>
        <w:autoSpaceDN w:val="0"/>
        <w:adjustRightInd w:val="0"/>
        <w:spacing w:line="480" w:lineRule="auto"/>
        <w:ind w:left="480" w:hanging="480"/>
        <w:rPr>
          <w:rFonts w:ascii="Times" w:hAnsi="Times" w:cs="Calibri"/>
          <w:noProof/>
        </w:rPr>
      </w:pPr>
      <w:r w:rsidRPr="00F123AE">
        <w:rPr>
          <w:rFonts w:ascii="Times" w:hAnsi="Times" w:cs="Calibri"/>
          <w:noProof/>
          <w:szCs w:val="24"/>
        </w:rPr>
        <w:t xml:space="preserve">Zhang, J., Wang, J., &amp; Wu, Y. (2012). An improved approach for accurate and efficient calling of structural variations with low-coverage sequence data. </w:t>
      </w:r>
      <w:r w:rsidRPr="00F123AE">
        <w:rPr>
          <w:rFonts w:ascii="Times" w:hAnsi="Times" w:cs="Calibri"/>
          <w:i/>
          <w:iCs/>
          <w:noProof/>
          <w:szCs w:val="24"/>
        </w:rPr>
        <w:t>BMC Bioinformatics</w:t>
      </w:r>
      <w:r w:rsidRPr="00F123AE">
        <w:rPr>
          <w:rFonts w:ascii="Times" w:hAnsi="Times" w:cs="Calibri"/>
          <w:noProof/>
          <w:szCs w:val="24"/>
        </w:rPr>
        <w:t xml:space="preserve">, </w:t>
      </w:r>
      <w:r w:rsidRPr="00F123AE">
        <w:rPr>
          <w:rFonts w:ascii="Times" w:hAnsi="Times" w:cs="Calibri"/>
          <w:i/>
          <w:iCs/>
          <w:noProof/>
          <w:szCs w:val="24"/>
        </w:rPr>
        <w:t>13 Suppl 6</w:t>
      </w:r>
      <w:r w:rsidRPr="00F123AE">
        <w:rPr>
          <w:rFonts w:ascii="Times" w:hAnsi="Times" w:cs="Calibri"/>
          <w:noProof/>
          <w:szCs w:val="24"/>
        </w:rPr>
        <w:t>(6), 1–11. https://doi.org/10.1186/1471-2105-13-s6-s6</w:t>
      </w:r>
    </w:p>
    <w:p w14:paraId="0804CF92" w14:textId="72061EB3" w:rsidR="00B076E1" w:rsidRPr="005F3CA7" w:rsidRDefault="00232F09" w:rsidP="005F3CA7">
      <w:pPr>
        <w:spacing w:line="480" w:lineRule="auto"/>
        <w:rPr>
          <w:rFonts w:ascii="Times" w:hAnsi="Times"/>
        </w:rPr>
      </w:pPr>
      <w:r w:rsidRPr="00F123AE">
        <w:rPr>
          <w:rFonts w:ascii="Times" w:hAnsi="Times"/>
        </w:rPr>
        <w:fldChar w:fldCharType="end"/>
      </w:r>
    </w:p>
    <w:sectPr w:rsidR="00B076E1" w:rsidRPr="005F3CA7" w:rsidSect="006E117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imes">
    <w:altName w:val="﷽﷽﷽﷽﷽﷽﷽﷽"/>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23C64"/>
    <w:multiLevelType w:val="hybridMultilevel"/>
    <w:tmpl w:val="0178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CF"/>
    <w:rsid w:val="00020AA7"/>
    <w:rsid w:val="00212799"/>
    <w:rsid w:val="00232F09"/>
    <w:rsid w:val="005951FA"/>
    <w:rsid w:val="005F3CA7"/>
    <w:rsid w:val="006463B2"/>
    <w:rsid w:val="00666901"/>
    <w:rsid w:val="006E1173"/>
    <w:rsid w:val="007625C7"/>
    <w:rsid w:val="00827255"/>
    <w:rsid w:val="008308C0"/>
    <w:rsid w:val="00885DD4"/>
    <w:rsid w:val="00962827"/>
    <w:rsid w:val="00A43393"/>
    <w:rsid w:val="00B076E1"/>
    <w:rsid w:val="00B11B6C"/>
    <w:rsid w:val="00CD47F2"/>
    <w:rsid w:val="00D10272"/>
    <w:rsid w:val="00D6236F"/>
    <w:rsid w:val="00D86901"/>
    <w:rsid w:val="00D9402A"/>
    <w:rsid w:val="00DD5E60"/>
    <w:rsid w:val="00E62BCF"/>
    <w:rsid w:val="00F123AE"/>
    <w:rsid w:val="00F7615E"/>
    <w:rsid w:val="00FB6A5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1A25"/>
  <w15:chartTrackingRefBased/>
  <w15:docId w15:val="{5C0A464D-0B00-0E4E-B94F-18D26E48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1FA"/>
    <w:pPr>
      <w:ind w:left="720"/>
      <w:contextualSpacing/>
    </w:pPr>
  </w:style>
  <w:style w:type="paragraph" w:styleId="BalloonText">
    <w:name w:val="Balloon Text"/>
    <w:basedOn w:val="Normal"/>
    <w:link w:val="BalloonTextChar"/>
    <w:uiPriority w:val="99"/>
    <w:semiHidden/>
    <w:unhideWhenUsed/>
    <w:rsid w:val="00B076E1"/>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B076E1"/>
    <w:rPr>
      <w:rFonts w:ascii="Times New Roman" w:hAnsi="Times New Roman" w:cs="Angsana New"/>
      <w:sz w:val="18"/>
      <w:szCs w:val="22"/>
    </w:rPr>
  </w:style>
  <w:style w:type="character" w:styleId="LineNumber">
    <w:name w:val="line number"/>
    <w:basedOn w:val="DefaultParagraphFont"/>
    <w:uiPriority w:val="99"/>
    <w:semiHidden/>
    <w:unhideWhenUsed/>
    <w:rsid w:val="006E1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117FD-33CA-9542-ABA1-C22555ED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4614</Words>
  <Characters>26303</Characters>
  <Application>Microsoft Office Word</Application>
  <DocSecurity>0</DocSecurity>
  <Lines>219</Lines>
  <Paragraphs>61</Paragraphs>
  <ScaleCrop>false</ScaleCrop>
  <Company/>
  <LinksUpToDate>false</LinksUpToDate>
  <CharactersWithSpaces>30856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Kittikun Songsomboon</dc:creator>
  <cp:keywords/>
  <dc:description/>
  <cp:lastModifiedBy>Kittikun Songsomboon</cp:lastModifiedBy>
  <cp:revision>10</cp:revision>
  <dcterms:created xsi:type="dcterms:W3CDTF">2020-10-30T11:11:00Z</dcterms:created>
  <dcterms:modified xsi:type="dcterms:W3CDTF">2021-03-14T03:24:00Z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http://www.zotero.org/styles/g3</vt:lpwstr>
  </property>
  <property fmtid="{D5CDD505-2E9C-101B-9397-08002B2CF9AE}" pid="15" name="Mendeley Recent Style Name 6_1">
    <vt:lpwstr>G3: Genes, Genomes, Genetics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efc0957b-7ac4-3fdb-84a2-c2a8beb383f0</vt:lpwstr>
  </property>
  <property fmtid="{D5CDD505-2E9C-101B-9397-08002B2CF9AE}" pid="24" name="Mendeley Citation Style_1">
    <vt:lpwstr>http://www.zotero.org/styles/apa</vt:lpwstr>
  </property>
</Properties>
</file>