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F1FD9" w14:textId="2C147B55" w:rsidR="007231E0" w:rsidRDefault="007231E0" w:rsidP="007231E0">
      <w:pPr>
        <w:pBdr>
          <w:top w:val="nil"/>
          <w:left w:val="nil"/>
          <w:bottom w:val="nil"/>
          <w:right w:val="nil"/>
          <w:between w:val="nil"/>
        </w:pBdr>
        <w:shd w:val="clear" w:color="auto" w:fill="FFFFFF"/>
        <w:spacing w:after="420" w:line="276" w:lineRule="auto"/>
        <w:jc w:val="both"/>
        <w:rPr>
          <w:rFonts w:ascii="Times New Roman" w:eastAsia="Times New Roman" w:hAnsi="Times New Roman" w:cs="Times New Roman"/>
          <w:sz w:val="24"/>
          <w:szCs w:val="24"/>
        </w:rPr>
      </w:pPr>
      <w:r w:rsidRPr="00856091">
        <w:rPr>
          <w:rFonts w:ascii="Times New Roman" w:eastAsia="Times New Roman" w:hAnsi="Times New Roman" w:cs="Times New Roman"/>
          <w:sz w:val="24"/>
          <w:szCs w:val="24"/>
        </w:rPr>
        <w:t>The alignments of the amino acid sequences and subsequent IQ-TREE analyses generated phylogenetic trees for CNL-TNL, RLP and RLK RGA classes (</w:t>
      </w:r>
      <w:r w:rsidR="00DE3BE3">
        <w:rPr>
          <w:rFonts w:ascii="Times New Roman" w:eastAsia="Times New Roman" w:hAnsi="Times New Roman" w:cs="Times New Roman"/>
          <w:sz w:val="24"/>
          <w:szCs w:val="24"/>
        </w:rPr>
        <w:t>Figure S1</w:t>
      </w:r>
      <w:r w:rsidRPr="00856091">
        <w:rPr>
          <w:rFonts w:ascii="Times New Roman" w:eastAsia="Times New Roman" w:hAnsi="Times New Roman" w:cs="Times New Roman"/>
          <w:sz w:val="24"/>
          <w:szCs w:val="24"/>
        </w:rPr>
        <w:t xml:space="preserve">a-c). Some clusters of orthologous resistance genes among the six species were identified, especially for RLP and RLKs, while more </w:t>
      </w:r>
      <w:r w:rsidRPr="00856091">
        <w:rPr>
          <w:rFonts w:ascii="Times New Roman" w:eastAsia="Times New Roman" w:hAnsi="Times New Roman" w:cs="Times New Roman"/>
          <w:i/>
          <w:sz w:val="24"/>
          <w:szCs w:val="24"/>
        </w:rPr>
        <w:t>Quercus</w:t>
      </w:r>
      <w:r w:rsidRPr="00856091">
        <w:rPr>
          <w:rFonts w:ascii="Times New Roman" w:eastAsia="Times New Roman" w:hAnsi="Times New Roman" w:cs="Times New Roman"/>
          <w:sz w:val="24"/>
          <w:szCs w:val="24"/>
        </w:rPr>
        <w:t>-specific clusters were identified for CNL-TNL. To explore the evolutionary relationships among NLRs, a phylogenetic tree was constructed using the CNL and TNL proteins identified together with 39 known plant resistance (R) proteins. As expected, the TNL clade branched out, although 20 predicted CNL genes were nested within the TNL clade. The CNL genes belonging to G4, G7 and G10 subgroups were clearly clustered in separated groups, with G4 and G7 mainly containing CNLs</w:t>
      </w:r>
      <w:r w:rsidRPr="00856091">
        <w:rPr>
          <w:rFonts w:ascii="Times New Roman" w:eastAsia="Times New Roman" w:hAnsi="Times New Roman" w:cs="Times New Roman"/>
          <w:i/>
          <w:sz w:val="24"/>
          <w:szCs w:val="24"/>
        </w:rPr>
        <w:t xml:space="preserve"> </w:t>
      </w:r>
      <w:r w:rsidRPr="00856091">
        <w:rPr>
          <w:rFonts w:ascii="Times New Roman" w:eastAsia="Times New Roman" w:hAnsi="Times New Roman" w:cs="Times New Roman"/>
          <w:sz w:val="24"/>
          <w:szCs w:val="24"/>
        </w:rPr>
        <w:t xml:space="preserve">of </w:t>
      </w:r>
      <w:r w:rsidRPr="00856091">
        <w:rPr>
          <w:rFonts w:ascii="Times New Roman" w:eastAsia="Times New Roman" w:hAnsi="Times New Roman" w:cs="Times New Roman"/>
          <w:i/>
          <w:sz w:val="24"/>
          <w:szCs w:val="24"/>
        </w:rPr>
        <w:t xml:space="preserve">Q. </w:t>
      </w:r>
      <w:proofErr w:type="spellStart"/>
      <w:r w:rsidRPr="00856091">
        <w:rPr>
          <w:rFonts w:ascii="Times New Roman" w:eastAsia="Times New Roman" w:hAnsi="Times New Roman" w:cs="Times New Roman"/>
          <w:i/>
          <w:sz w:val="24"/>
          <w:szCs w:val="24"/>
        </w:rPr>
        <w:t>suber</w:t>
      </w:r>
      <w:proofErr w:type="spellEnd"/>
      <w:r w:rsidRPr="00856091">
        <w:rPr>
          <w:rFonts w:ascii="Times New Roman" w:eastAsia="Times New Roman" w:hAnsi="Times New Roman" w:cs="Times New Roman"/>
          <w:sz w:val="24"/>
          <w:szCs w:val="24"/>
        </w:rPr>
        <w:t>. Finally, several putative RGAs were identified and showed missing domains: besides genes belonging to types TN, TX and CN, several NL genes (NBS-LRR lacking coiled-coil or Toll/Interleukin-1 receptor) were found.</w:t>
      </w:r>
    </w:p>
    <w:p w14:paraId="33521231" w14:textId="77777777" w:rsidR="000A27EE" w:rsidRDefault="000A27EE" w:rsidP="000A27EE">
      <w:pPr>
        <w:shd w:val="clear" w:color="auto" w:fill="FFFFFF"/>
        <w:spacing w:after="42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drawing>
          <wp:inline distT="114300" distB="114300" distL="114300" distR="114300" wp14:anchorId="7618DE60" wp14:editId="3317FEE3">
            <wp:extent cx="5337658" cy="513646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l="30388"/>
                    <a:stretch>
                      <a:fillRect/>
                    </a:stretch>
                  </pic:blipFill>
                  <pic:spPr>
                    <a:xfrm>
                      <a:off x="0" y="0"/>
                      <a:ext cx="5337658" cy="5136460"/>
                    </a:xfrm>
                    <a:prstGeom prst="rect">
                      <a:avLst/>
                    </a:prstGeom>
                    <a:ln/>
                  </pic:spPr>
                </pic:pic>
              </a:graphicData>
            </a:graphic>
          </wp:inline>
        </w:drawing>
      </w:r>
    </w:p>
    <w:p w14:paraId="6E90A289" w14:textId="22899DD6" w:rsidR="000A27EE" w:rsidRPr="00BB6A5C" w:rsidRDefault="000A27EE" w:rsidP="000A27EE">
      <w:pPr>
        <w:shd w:val="clear" w:color="auto" w:fill="FFFFFF"/>
        <w:spacing w:after="420" w:line="276" w:lineRule="auto"/>
        <w:jc w:val="both"/>
        <w:rPr>
          <w:rFonts w:ascii="Times New Roman" w:eastAsia="Times New Roman" w:hAnsi="Times New Roman" w:cs="Times New Roman"/>
          <w:sz w:val="20"/>
          <w:szCs w:val="24"/>
        </w:rPr>
      </w:pPr>
      <w:r w:rsidRPr="00BB6A5C">
        <w:rPr>
          <w:rFonts w:ascii="Times New Roman" w:eastAsia="Times New Roman" w:hAnsi="Times New Roman" w:cs="Times New Roman"/>
          <w:b/>
          <w:sz w:val="20"/>
          <w:szCs w:val="24"/>
        </w:rPr>
        <w:t>Figure</w:t>
      </w:r>
      <w:r w:rsidR="00DE3BE3" w:rsidRPr="00BB6A5C">
        <w:rPr>
          <w:rFonts w:ascii="Times New Roman" w:eastAsia="Times New Roman" w:hAnsi="Times New Roman" w:cs="Times New Roman"/>
          <w:b/>
          <w:sz w:val="20"/>
          <w:szCs w:val="24"/>
        </w:rPr>
        <w:t xml:space="preserve"> S1</w:t>
      </w:r>
      <w:r w:rsidRPr="00BB6A5C">
        <w:rPr>
          <w:rFonts w:ascii="Times New Roman" w:eastAsia="Times New Roman" w:hAnsi="Times New Roman" w:cs="Times New Roman"/>
          <w:b/>
          <w:sz w:val="20"/>
          <w:szCs w:val="24"/>
        </w:rPr>
        <w:t>a: CNL/TNLs tree.</w:t>
      </w:r>
      <w:r w:rsidRPr="00BB6A5C">
        <w:rPr>
          <w:rFonts w:ascii="Times New Roman" w:eastAsia="Times New Roman" w:hAnsi="Times New Roman" w:cs="Times New Roman"/>
          <w:sz w:val="20"/>
          <w:szCs w:val="24"/>
        </w:rPr>
        <w:t xml:space="preserve"> CNL/TNL identified in the different genome sequences are depicted with different colors: blue for ‘</w:t>
      </w:r>
      <w:proofErr w:type="spellStart"/>
      <w:r w:rsidRPr="00BB6A5C">
        <w:rPr>
          <w:rFonts w:ascii="Times New Roman" w:eastAsia="Times New Roman" w:hAnsi="Times New Roman" w:cs="Times New Roman"/>
          <w:sz w:val="20"/>
          <w:szCs w:val="24"/>
        </w:rPr>
        <w:t>Tombul</w:t>
      </w:r>
      <w:proofErr w:type="spellEnd"/>
      <w:r w:rsidRPr="00BB6A5C">
        <w:rPr>
          <w:rFonts w:ascii="Times New Roman" w:eastAsia="Times New Roman" w:hAnsi="Times New Roman" w:cs="Times New Roman"/>
          <w:sz w:val="20"/>
          <w:szCs w:val="24"/>
        </w:rPr>
        <w:t>’, orange for ‘</w:t>
      </w:r>
      <w:proofErr w:type="spellStart"/>
      <w:r w:rsidRPr="00BB6A5C">
        <w:rPr>
          <w:rFonts w:ascii="Times New Roman" w:eastAsia="Times New Roman" w:hAnsi="Times New Roman" w:cs="Times New Roman"/>
          <w:sz w:val="20"/>
          <w:szCs w:val="24"/>
        </w:rPr>
        <w:t>TGdL</w:t>
      </w:r>
      <w:proofErr w:type="spellEnd"/>
      <w:r w:rsidRPr="00BB6A5C">
        <w:rPr>
          <w:rFonts w:ascii="Times New Roman" w:eastAsia="Times New Roman" w:hAnsi="Times New Roman" w:cs="Times New Roman"/>
          <w:sz w:val="20"/>
          <w:szCs w:val="24"/>
        </w:rPr>
        <w:t xml:space="preserve">’, light blue for </w:t>
      </w:r>
      <w:r w:rsidRPr="00BB6A5C">
        <w:rPr>
          <w:rFonts w:ascii="Times New Roman" w:eastAsia="Times New Roman" w:hAnsi="Times New Roman" w:cs="Times New Roman"/>
          <w:i/>
          <w:sz w:val="20"/>
          <w:szCs w:val="24"/>
        </w:rPr>
        <w:t>Betula pendula</w:t>
      </w:r>
      <w:r w:rsidRPr="00BB6A5C">
        <w:rPr>
          <w:rFonts w:ascii="Times New Roman" w:eastAsia="Times New Roman" w:hAnsi="Times New Roman" w:cs="Times New Roman"/>
          <w:sz w:val="20"/>
          <w:szCs w:val="24"/>
        </w:rPr>
        <w:t xml:space="preserve">, red for </w:t>
      </w:r>
      <w:proofErr w:type="spellStart"/>
      <w:r w:rsidRPr="00BB6A5C">
        <w:rPr>
          <w:rFonts w:ascii="Times New Roman" w:eastAsia="Times New Roman" w:hAnsi="Times New Roman" w:cs="Times New Roman"/>
          <w:i/>
          <w:sz w:val="20"/>
          <w:szCs w:val="24"/>
        </w:rPr>
        <w:t>Carpinus</w:t>
      </w:r>
      <w:proofErr w:type="spellEnd"/>
      <w:r w:rsidRPr="00BB6A5C">
        <w:rPr>
          <w:rFonts w:ascii="Times New Roman" w:eastAsia="Times New Roman" w:hAnsi="Times New Roman" w:cs="Times New Roman"/>
          <w:i/>
          <w:sz w:val="20"/>
          <w:szCs w:val="24"/>
        </w:rPr>
        <w:t xml:space="preserve"> </w:t>
      </w:r>
      <w:proofErr w:type="spellStart"/>
      <w:r w:rsidRPr="00BB6A5C">
        <w:rPr>
          <w:rFonts w:ascii="Times New Roman" w:eastAsia="Times New Roman" w:hAnsi="Times New Roman" w:cs="Times New Roman"/>
          <w:i/>
          <w:sz w:val="20"/>
          <w:szCs w:val="24"/>
        </w:rPr>
        <w:t>fangiana</w:t>
      </w:r>
      <w:proofErr w:type="spellEnd"/>
      <w:r w:rsidRPr="00BB6A5C">
        <w:rPr>
          <w:rFonts w:ascii="Times New Roman" w:eastAsia="Times New Roman" w:hAnsi="Times New Roman" w:cs="Times New Roman"/>
          <w:sz w:val="20"/>
          <w:szCs w:val="24"/>
        </w:rPr>
        <w:t xml:space="preserve">, black for </w:t>
      </w:r>
      <w:proofErr w:type="spellStart"/>
      <w:r w:rsidRPr="00BB6A5C">
        <w:rPr>
          <w:rFonts w:ascii="Times New Roman" w:eastAsia="Times New Roman" w:hAnsi="Times New Roman" w:cs="Times New Roman"/>
          <w:i/>
          <w:sz w:val="20"/>
          <w:szCs w:val="24"/>
        </w:rPr>
        <w:t>Quercus</w:t>
      </w:r>
      <w:proofErr w:type="spellEnd"/>
      <w:r w:rsidRPr="00BB6A5C">
        <w:rPr>
          <w:rFonts w:ascii="Times New Roman" w:eastAsia="Times New Roman" w:hAnsi="Times New Roman" w:cs="Times New Roman"/>
          <w:i/>
          <w:sz w:val="20"/>
          <w:szCs w:val="24"/>
        </w:rPr>
        <w:t xml:space="preserve"> </w:t>
      </w:r>
      <w:proofErr w:type="spellStart"/>
      <w:r w:rsidRPr="00BB6A5C">
        <w:rPr>
          <w:rFonts w:ascii="Times New Roman" w:eastAsia="Times New Roman" w:hAnsi="Times New Roman" w:cs="Times New Roman"/>
          <w:i/>
          <w:sz w:val="20"/>
          <w:szCs w:val="24"/>
        </w:rPr>
        <w:t>suber</w:t>
      </w:r>
      <w:proofErr w:type="spellEnd"/>
      <w:r w:rsidRPr="00BB6A5C">
        <w:rPr>
          <w:rFonts w:ascii="Times New Roman" w:eastAsia="Times New Roman" w:hAnsi="Times New Roman" w:cs="Times New Roman"/>
          <w:sz w:val="20"/>
          <w:szCs w:val="24"/>
        </w:rPr>
        <w:t>; reference genes are colored in purple. No CNL and TNL were identified in ‘Jefferson’.</w:t>
      </w:r>
    </w:p>
    <w:p w14:paraId="3DB85F93" w14:textId="77777777" w:rsidR="000A27EE" w:rsidRDefault="000A27EE" w:rsidP="000A27EE">
      <w:pPr>
        <w:shd w:val="clear" w:color="auto" w:fill="FFFFFF"/>
        <w:spacing w:after="4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GB"/>
        </w:rPr>
        <w:drawing>
          <wp:inline distT="114300" distB="114300" distL="114300" distR="114300" wp14:anchorId="3A9A279A" wp14:editId="46EE1051">
            <wp:extent cx="5266161" cy="4840492"/>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34276"/>
                    <a:stretch>
                      <a:fillRect/>
                    </a:stretch>
                  </pic:blipFill>
                  <pic:spPr>
                    <a:xfrm>
                      <a:off x="0" y="0"/>
                      <a:ext cx="5266161" cy="4840492"/>
                    </a:xfrm>
                    <a:prstGeom prst="rect">
                      <a:avLst/>
                    </a:prstGeom>
                    <a:ln/>
                  </pic:spPr>
                </pic:pic>
              </a:graphicData>
            </a:graphic>
          </wp:inline>
        </w:drawing>
      </w:r>
    </w:p>
    <w:p w14:paraId="65376357" w14:textId="723FDD91" w:rsidR="000A27EE" w:rsidRPr="00BB6A5C" w:rsidRDefault="000A27EE" w:rsidP="000A27EE">
      <w:pPr>
        <w:shd w:val="clear" w:color="auto" w:fill="FFFFFF"/>
        <w:spacing w:after="420" w:line="276" w:lineRule="auto"/>
        <w:jc w:val="both"/>
        <w:rPr>
          <w:rFonts w:ascii="Times New Roman" w:eastAsia="Times New Roman" w:hAnsi="Times New Roman" w:cs="Times New Roman"/>
          <w:sz w:val="20"/>
          <w:szCs w:val="24"/>
        </w:rPr>
      </w:pPr>
      <w:r w:rsidRPr="00BB6A5C">
        <w:rPr>
          <w:rFonts w:ascii="Times New Roman" w:eastAsia="Times New Roman" w:hAnsi="Times New Roman" w:cs="Times New Roman"/>
          <w:b/>
          <w:sz w:val="20"/>
          <w:szCs w:val="24"/>
        </w:rPr>
        <w:t xml:space="preserve">Figure </w:t>
      </w:r>
      <w:r w:rsidR="00C41C0E">
        <w:rPr>
          <w:rFonts w:ascii="Times New Roman" w:eastAsia="Times New Roman" w:hAnsi="Times New Roman" w:cs="Times New Roman"/>
          <w:b/>
          <w:sz w:val="20"/>
          <w:szCs w:val="24"/>
        </w:rPr>
        <w:t>S1</w:t>
      </w:r>
      <w:r w:rsidRPr="00BB6A5C">
        <w:rPr>
          <w:rFonts w:ascii="Times New Roman" w:eastAsia="Times New Roman" w:hAnsi="Times New Roman" w:cs="Times New Roman"/>
          <w:b/>
          <w:sz w:val="20"/>
          <w:szCs w:val="24"/>
        </w:rPr>
        <w:t xml:space="preserve">b: RLPs tree. </w:t>
      </w:r>
      <w:r w:rsidRPr="00BB6A5C">
        <w:rPr>
          <w:rFonts w:ascii="Times New Roman" w:eastAsia="Times New Roman" w:hAnsi="Times New Roman" w:cs="Times New Roman"/>
          <w:sz w:val="20"/>
          <w:szCs w:val="24"/>
        </w:rPr>
        <w:t>RLPs identified in the different genotypes are depicted with different colors: blue for ‘</w:t>
      </w:r>
      <w:proofErr w:type="spellStart"/>
      <w:r w:rsidRPr="00BB6A5C">
        <w:rPr>
          <w:rFonts w:ascii="Times New Roman" w:eastAsia="Times New Roman" w:hAnsi="Times New Roman" w:cs="Times New Roman"/>
          <w:sz w:val="20"/>
          <w:szCs w:val="24"/>
        </w:rPr>
        <w:t>Tombul</w:t>
      </w:r>
      <w:proofErr w:type="spellEnd"/>
      <w:r w:rsidRPr="00BB6A5C">
        <w:rPr>
          <w:rFonts w:ascii="Times New Roman" w:eastAsia="Times New Roman" w:hAnsi="Times New Roman" w:cs="Times New Roman"/>
          <w:sz w:val="20"/>
          <w:szCs w:val="24"/>
        </w:rPr>
        <w:t>’, orange for ‘</w:t>
      </w:r>
      <w:proofErr w:type="spellStart"/>
      <w:r w:rsidRPr="00BB6A5C">
        <w:rPr>
          <w:rFonts w:ascii="Times New Roman" w:eastAsia="Times New Roman" w:hAnsi="Times New Roman" w:cs="Times New Roman"/>
          <w:sz w:val="20"/>
          <w:szCs w:val="24"/>
        </w:rPr>
        <w:t>TGdL</w:t>
      </w:r>
      <w:proofErr w:type="spellEnd"/>
      <w:r w:rsidRPr="00BB6A5C">
        <w:rPr>
          <w:rFonts w:ascii="Times New Roman" w:eastAsia="Times New Roman" w:hAnsi="Times New Roman" w:cs="Times New Roman"/>
          <w:sz w:val="20"/>
          <w:szCs w:val="24"/>
        </w:rPr>
        <w:t xml:space="preserve">’, light blue for </w:t>
      </w:r>
      <w:r w:rsidRPr="00BB6A5C">
        <w:rPr>
          <w:rFonts w:ascii="Times New Roman" w:eastAsia="Times New Roman" w:hAnsi="Times New Roman" w:cs="Times New Roman"/>
          <w:i/>
          <w:sz w:val="20"/>
          <w:szCs w:val="24"/>
        </w:rPr>
        <w:t>Betula pendula</w:t>
      </w:r>
      <w:r w:rsidRPr="00BB6A5C">
        <w:rPr>
          <w:rFonts w:ascii="Times New Roman" w:eastAsia="Times New Roman" w:hAnsi="Times New Roman" w:cs="Times New Roman"/>
          <w:sz w:val="20"/>
          <w:szCs w:val="24"/>
        </w:rPr>
        <w:t xml:space="preserve">, red for </w:t>
      </w:r>
      <w:proofErr w:type="spellStart"/>
      <w:r w:rsidRPr="00BB6A5C">
        <w:rPr>
          <w:rFonts w:ascii="Times New Roman" w:eastAsia="Times New Roman" w:hAnsi="Times New Roman" w:cs="Times New Roman"/>
          <w:i/>
          <w:sz w:val="20"/>
          <w:szCs w:val="24"/>
        </w:rPr>
        <w:t>Carpinus</w:t>
      </w:r>
      <w:proofErr w:type="spellEnd"/>
      <w:r w:rsidRPr="00BB6A5C">
        <w:rPr>
          <w:rFonts w:ascii="Times New Roman" w:eastAsia="Times New Roman" w:hAnsi="Times New Roman" w:cs="Times New Roman"/>
          <w:i/>
          <w:sz w:val="20"/>
          <w:szCs w:val="24"/>
        </w:rPr>
        <w:t xml:space="preserve"> </w:t>
      </w:r>
      <w:proofErr w:type="spellStart"/>
      <w:r w:rsidRPr="00BB6A5C">
        <w:rPr>
          <w:rFonts w:ascii="Times New Roman" w:eastAsia="Times New Roman" w:hAnsi="Times New Roman" w:cs="Times New Roman"/>
          <w:i/>
          <w:sz w:val="20"/>
          <w:szCs w:val="24"/>
        </w:rPr>
        <w:t>fangiana</w:t>
      </w:r>
      <w:proofErr w:type="spellEnd"/>
      <w:r w:rsidRPr="00BB6A5C">
        <w:rPr>
          <w:rFonts w:ascii="Times New Roman" w:eastAsia="Times New Roman" w:hAnsi="Times New Roman" w:cs="Times New Roman"/>
          <w:sz w:val="20"/>
          <w:szCs w:val="24"/>
        </w:rPr>
        <w:t xml:space="preserve">, black for </w:t>
      </w:r>
      <w:proofErr w:type="spellStart"/>
      <w:r w:rsidRPr="00BB6A5C">
        <w:rPr>
          <w:rFonts w:ascii="Times New Roman" w:eastAsia="Times New Roman" w:hAnsi="Times New Roman" w:cs="Times New Roman"/>
          <w:i/>
          <w:sz w:val="20"/>
          <w:szCs w:val="24"/>
        </w:rPr>
        <w:t>Quercus</w:t>
      </w:r>
      <w:proofErr w:type="spellEnd"/>
      <w:r w:rsidRPr="00BB6A5C">
        <w:rPr>
          <w:rFonts w:ascii="Times New Roman" w:eastAsia="Times New Roman" w:hAnsi="Times New Roman" w:cs="Times New Roman"/>
          <w:sz w:val="20"/>
          <w:szCs w:val="24"/>
        </w:rPr>
        <w:t xml:space="preserve"> </w:t>
      </w:r>
      <w:proofErr w:type="spellStart"/>
      <w:r w:rsidRPr="00BB6A5C">
        <w:rPr>
          <w:rFonts w:ascii="Times New Roman" w:eastAsia="Times New Roman" w:hAnsi="Times New Roman" w:cs="Times New Roman"/>
          <w:i/>
          <w:sz w:val="20"/>
          <w:szCs w:val="24"/>
        </w:rPr>
        <w:t>suber</w:t>
      </w:r>
      <w:proofErr w:type="spellEnd"/>
      <w:r w:rsidRPr="00BB6A5C">
        <w:rPr>
          <w:rFonts w:ascii="Times New Roman" w:eastAsia="Times New Roman" w:hAnsi="Times New Roman" w:cs="Times New Roman"/>
          <w:i/>
          <w:sz w:val="20"/>
          <w:szCs w:val="24"/>
        </w:rPr>
        <w:t xml:space="preserve"> </w:t>
      </w:r>
      <w:r w:rsidRPr="00BB6A5C">
        <w:rPr>
          <w:rFonts w:ascii="Times New Roman" w:eastAsia="Times New Roman" w:hAnsi="Times New Roman" w:cs="Times New Roman"/>
          <w:sz w:val="20"/>
          <w:szCs w:val="24"/>
        </w:rPr>
        <w:t xml:space="preserve">and green for ‘Jefferson’. </w:t>
      </w:r>
    </w:p>
    <w:p w14:paraId="18EAF1C0" w14:textId="77777777" w:rsidR="000A27EE" w:rsidRDefault="000A27EE" w:rsidP="000A27EE">
      <w:pPr>
        <w:shd w:val="clear" w:color="auto" w:fill="FFFFFF"/>
        <w:spacing w:after="42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lastRenderedPageBreak/>
        <w:drawing>
          <wp:inline distT="114300" distB="114300" distL="114300" distR="114300" wp14:anchorId="35F4D74E" wp14:editId="0CF4AA0C">
            <wp:extent cx="5514023" cy="5399676"/>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32566"/>
                    <a:stretch>
                      <a:fillRect/>
                    </a:stretch>
                  </pic:blipFill>
                  <pic:spPr>
                    <a:xfrm>
                      <a:off x="0" y="0"/>
                      <a:ext cx="5514023" cy="5399676"/>
                    </a:xfrm>
                    <a:prstGeom prst="rect">
                      <a:avLst/>
                    </a:prstGeom>
                    <a:ln/>
                  </pic:spPr>
                </pic:pic>
              </a:graphicData>
            </a:graphic>
          </wp:inline>
        </w:drawing>
      </w:r>
    </w:p>
    <w:p w14:paraId="084910DF" w14:textId="6371D529" w:rsidR="000A27EE" w:rsidRPr="00BB6A5C" w:rsidRDefault="000A27EE" w:rsidP="000A27EE">
      <w:pPr>
        <w:shd w:val="clear" w:color="auto" w:fill="FFFFFF"/>
        <w:spacing w:after="420" w:line="276" w:lineRule="auto"/>
        <w:jc w:val="both"/>
        <w:rPr>
          <w:rFonts w:ascii="Times New Roman" w:eastAsia="Times New Roman" w:hAnsi="Times New Roman" w:cs="Times New Roman"/>
          <w:sz w:val="20"/>
          <w:szCs w:val="24"/>
        </w:rPr>
      </w:pPr>
      <w:r w:rsidRPr="00BB6A5C">
        <w:rPr>
          <w:rFonts w:ascii="Times New Roman" w:eastAsia="Times New Roman" w:hAnsi="Times New Roman" w:cs="Times New Roman"/>
          <w:b/>
          <w:sz w:val="20"/>
          <w:szCs w:val="24"/>
        </w:rPr>
        <w:t xml:space="preserve">Figure </w:t>
      </w:r>
      <w:r w:rsidR="00C41C0E">
        <w:rPr>
          <w:rFonts w:ascii="Times New Roman" w:eastAsia="Times New Roman" w:hAnsi="Times New Roman" w:cs="Times New Roman"/>
          <w:b/>
          <w:sz w:val="20"/>
          <w:szCs w:val="24"/>
        </w:rPr>
        <w:t>S1</w:t>
      </w:r>
      <w:bookmarkStart w:id="0" w:name="_GoBack"/>
      <w:bookmarkEnd w:id="0"/>
      <w:r w:rsidRPr="00BB6A5C">
        <w:rPr>
          <w:rFonts w:ascii="Times New Roman" w:eastAsia="Times New Roman" w:hAnsi="Times New Roman" w:cs="Times New Roman"/>
          <w:b/>
          <w:sz w:val="20"/>
          <w:szCs w:val="24"/>
        </w:rPr>
        <w:t>c: RLKs tree.</w:t>
      </w:r>
      <w:r w:rsidRPr="00BB6A5C">
        <w:rPr>
          <w:rFonts w:ascii="Times New Roman" w:eastAsia="Times New Roman" w:hAnsi="Times New Roman" w:cs="Times New Roman"/>
          <w:sz w:val="20"/>
          <w:szCs w:val="24"/>
        </w:rPr>
        <w:t xml:space="preserve"> RLKs identified in the different genotypes are depicted with different colors: blue for ‘</w:t>
      </w:r>
      <w:proofErr w:type="spellStart"/>
      <w:r w:rsidRPr="00BB6A5C">
        <w:rPr>
          <w:rFonts w:ascii="Times New Roman" w:eastAsia="Times New Roman" w:hAnsi="Times New Roman" w:cs="Times New Roman"/>
          <w:sz w:val="20"/>
          <w:szCs w:val="24"/>
        </w:rPr>
        <w:t>Tombul</w:t>
      </w:r>
      <w:proofErr w:type="spellEnd"/>
      <w:r w:rsidRPr="00BB6A5C">
        <w:rPr>
          <w:rFonts w:ascii="Times New Roman" w:eastAsia="Times New Roman" w:hAnsi="Times New Roman" w:cs="Times New Roman"/>
          <w:sz w:val="20"/>
          <w:szCs w:val="24"/>
        </w:rPr>
        <w:t>’, orange for ‘</w:t>
      </w:r>
      <w:proofErr w:type="spellStart"/>
      <w:r w:rsidRPr="00BB6A5C">
        <w:rPr>
          <w:rFonts w:ascii="Times New Roman" w:eastAsia="Times New Roman" w:hAnsi="Times New Roman" w:cs="Times New Roman"/>
          <w:sz w:val="20"/>
          <w:szCs w:val="24"/>
        </w:rPr>
        <w:t>TGdL</w:t>
      </w:r>
      <w:proofErr w:type="spellEnd"/>
      <w:r w:rsidRPr="00BB6A5C">
        <w:rPr>
          <w:rFonts w:ascii="Times New Roman" w:eastAsia="Times New Roman" w:hAnsi="Times New Roman" w:cs="Times New Roman"/>
          <w:sz w:val="20"/>
          <w:szCs w:val="24"/>
        </w:rPr>
        <w:t xml:space="preserve">’, light blue for </w:t>
      </w:r>
      <w:r w:rsidRPr="00BB6A5C">
        <w:rPr>
          <w:rFonts w:ascii="Times New Roman" w:eastAsia="Times New Roman" w:hAnsi="Times New Roman" w:cs="Times New Roman"/>
          <w:i/>
          <w:sz w:val="20"/>
          <w:szCs w:val="24"/>
        </w:rPr>
        <w:t>Betula pendula</w:t>
      </w:r>
      <w:r w:rsidRPr="00BB6A5C">
        <w:rPr>
          <w:rFonts w:ascii="Times New Roman" w:eastAsia="Times New Roman" w:hAnsi="Times New Roman" w:cs="Times New Roman"/>
          <w:sz w:val="20"/>
          <w:szCs w:val="24"/>
        </w:rPr>
        <w:t xml:space="preserve">, red for </w:t>
      </w:r>
      <w:proofErr w:type="spellStart"/>
      <w:r w:rsidRPr="00BB6A5C">
        <w:rPr>
          <w:rFonts w:ascii="Times New Roman" w:eastAsia="Times New Roman" w:hAnsi="Times New Roman" w:cs="Times New Roman"/>
          <w:i/>
          <w:sz w:val="20"/>
          <w:szCs w:val="24"/>
        </w:rPr>
        <w:t>Carpinus</w:t>
      </w:r>
      <w:proofErr w:type="spellEnd"/>
      <w:r w:rsidRPr="00BB6A5C">
        <w:rPr>
          <w:rFonts w:ascii="Times New Roman" w:eastAsia="Times New Roman" w:hAnsi="Times New Roman" w:cs="Times New Roman"/>
          <w:i/>
          <w:sz w:val="20"/>
          <w:szCs w:val="24"/>
        </w:rPr>
        <w:t xml:space="preserve"> </w:t>
      </w:r>
      <w:proofErr w:type="spellStart"/>
      <w:r w:rsidRPr="00BB6A5C">
        <w:rPr>
          <w:rFonts w:ascii="Times New Roman" w:eastAsia="Times New Roman" w:hAnsi="Times New Roman" w:cs="Times New Roman"/>
          <w:i/>
          <w:sz w:val="20"/>
          <w:szCs w:val="24"/>
        </w:rPr>
        <w:t>fangiana</w:t>
      </w:r>
      <w:proofErr w:type="spellEnd"/>
      <w:r w:rsidRPr="00BB6A5C">
        <w:rPr>
          <w:rFonts w:ascii="Times New Roman" w:eastAsia="Times New Roman" w:hAnsi="Times New Roman" w:cs="Times New Roman"/>
          <w:sz w:val="20"/>
          <w:szCs w:val="24"/>
        </w:rPr>
        <w:t xml:space="preserve">, black for </w:t>
      </w:r>
      <w:proofErr w:type="spellStart"/>
      <w:r w:rsidRPr="00BB6A5C">
        <w:rPr>
          <w:rFonts w:ascii="Times New Roman" w:eastAsia="Times New Roman" w:hAnsi="Times New Roman" w:cs="Times New Roman"/>
          <w:i/>
          <w:sz w:val="20"/>
          <w:szCs w:val="24"/>
        </w:rPr>
        <w:t>Quercus</w:t>
      </w:r>
      <w:proofErr w:type="spellEnd"/>
      <w:r w:rsidRPr="00BB6A5C">
        <w:rPr>
          <w:rFonts w:ascii="Times New Roman" w:eastAsia="Times New Roman" w:hAnsi="Times New Roman" w:cs="Times New Roman"/>
          <w:sz w:val="20"/>
          <w:szCs w:val="24"/>
        </w:rPr>
        <w:t xml:space="preserve"> </w:t>
      </w:r>
      <w:proofErr w:type="spellStart"/>
      <w:r w:rsidRPr="00BB6A5C">
        <w:rPr>
          <w:rFonts w:ascii="Times New Roman" w:eastAsia="Times New Roman" w:hAnsi="Times New Roman" w:cs="Times New Roman"/>
          <w:i/>
          <w:sz w:val="20"/>
          <w:szCs w:val="24"/>
        </w:rPr>
        <w:t>suber</w:t>
      </w:r>
      <w:proofErr w:type="spellEnd"/>
      <w:r w:rsidRPr="00BB6A5C">
        <w:rPr>
          <w:rFonts w:ascii="Times New Roman" w:eastAsia="Times New Roman" w:hAnsi="Times New Roman" w:cs="Times New Roman"/>
          <w:i/>
          <w:sz w:val="20"/>
          <w:szCs w:val="24"/>
        </w:rPr>
        <w:t xml:space="preserve"> </w:t>
      </w:r>
      <w:r w:rsidRPr="00BB6A5C">
        <w:rPr>
          <w:rFonts w:ascii="Times New Roman" w:eastAsia="Times New Roman" w:hAnsi="Times New Roman" w:cs="Times New Roman"/>
          <w:sz w:val="20"/>
          <w:szCs w:val="24"/>
        </w:rPr>
        <w:t>and green for ‘Jefferson’.</w:t>
      </w:r>
    </w:p>
    <w:p w14:paraId="25F7ED29" w14:textId="77777777" w:rsidR="000A27EE" w:rsidRPr="00353B5E" w:rsidRDefault="000A27EE" w:rsidP="007231E0">
      <w:pPr>
        <w:pBdr>
          <w:top w:val="nil"/>
          <w:left w:val="nil"/>
          <w:bottom w:val="nil"/>
          <w:right w:val="nil"/>
          <w:between w:val="nil"/>
        </w:pBdr>
        <w:shd w:val="clear" w:color="auto" w:fill="FFFFFF"/>
        <w:spacing w:after="420" w:line="276" w:lineRule="auto"/>
        <w:jc w:val="both"/>
        <w:rPr>
          <w:rFonts w:ascii="Times New Roman" w:eastAsia="Times New Roman" w:hAnsi="Times New Roman" w:cs="Times New Roman"/>
          <w:sz w:val="24"/>
          <w:szCs w:val="24"/>
        </w:rPr>
      </w:pPr>
    </w:p>
    <w:p w14:paraId="02CC9626" w14:textId="77777777" w:rsidR="00B54678" w:rsidRDefault="00B54678"/>
    <w:sectPr w:rsidR="00B546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2E9"/>
    <w:rsid w:val="000A27EE"/>
    <w:rsid w:val="007231E0"/>
    <w:rsid w:val="00856091"/>
    <w:rsid w:val="00A62223"/>
    <w:rsid w:val="00A752E9"/>
    <w:rsid w:val="00B54678"/>
    <w:rsid w:val="00BB6A5C"/>
    <w:rsid w:val="00C41C0E"/>
    <w:rsid w:val="00DE3B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676D"/>
  <w15:chartTrackingRefBased/>
  <w15:docId w15:val="{062CE190-EDD2-435E-BBD5-F59842DA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231E0"/>
    <w:pPr>
      <w:suppressAutoHyphens/>
      <w:spacing w:line="254" w:lineRule="auto"/>
    </w:pPr>
    <w:rPr>
      <w:rFonts w:ascii="Calibri" w:eastAsia="Calibri" w:hAnsi="Calibri" w:cs="Calibri"/>
      <w:lang w:val="en-US"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271</Words>
  <Characters>1551</Characters>
  <Application>Microsoft Office Word</Application>
  <DocSecurity>0</DocSecurity>
  <Lines>12</Lines>
  <Paragraphs>3</Paragraphs>
  <ScaleCrop>false</ScaleCrop>
  <Company/>
  <LinksUpToDate>false</LinksUpToDate>
  <CharactersWithSpaces>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Pavese</dc:creator>
  <cp:keywords/>
  <dc:description/>
  <cp:lastModifiedBy>Alberto.Acquadro</cp:lastModifiedBy>
  <cp:revision>7</cp:revision>
  <dcterms:created xsi:type="dcterms:W3CDTF">2021-04-10T09:44:00Z</dcterms:created>
  <dcterms:modified xsi:type="dcterms:W3CDTF">2021-04-16T14:43:00Z</dcterms:modified>
</cp:coreProperties>
</file>