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96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APPENDIX S3.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Results of the molecular dating analysis for selected nodes using BEAST2.</w:t>
      </w:r>
    </w:p>
    <w:p w:rsidR="00000000" w:rsidDel="00000000" w:rsidP="00000000" w:rsidRDefault="00000000" w:rsidRPr="00000000" w14:paraId="00000002">
      <w:pPr>
        <w:tabs>
          <w:tab w:val="left" w:pos="196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51"/>
        <w:gridCol w:w="1619"/>
        <w:gridCol w:w="1620"/>
        <w:gridCol w:w="786"/>
        <w:tblGridChange w:id="0">
          <w:tblGrid>
            <w:gridCol w:w="4851"/>
            <w:gridCol w:w="1619"/>
            <w:gridCol w:w="1620"/>
            <w:gridCol w:w="786"/>
          </w:tblGrid>
        </w:tblGridChange>
      </w:tblGrid>
      <w:tr>
        <w:trPr>
          <w:trHeight w:val="341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tabs>
                <w:tab w:val="left" w:pos="1968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Node of interest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combined dataset</w:t>
            </w:r>
          </w:p>
        </w:tc>
      </w:tr>
      <w:tr>
        <w:trPr>
          <w:trHeight w:val="679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Age estimate 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95% HPD 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PP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tabs>
                <w:tab w:val="left" w:pos="1968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Malvaceae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s.l.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stem 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152.89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(94.63-207.8)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0.65</w:t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tabs>
                <w:tab w:val="left" w:pos="1968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Malvaceae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s.l.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crown age (= /Byttneriina and /Malvadendrina stem ages)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110.47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(86.14-143.98)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tabs>
                <w:tab w:val="left" w:pos="1968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/Helicteroideae stem 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92.66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(79.04-112.45)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tabs>
                <w:tab w:val="left" w:pos="1968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/Sterculioideae stem 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83.69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(74.67-100.27)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tabs>
                <w:tab w:val="left" w:pos="1968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/Malvatheca stem age (= /Brownlowioideae- /Dombeyoideae- /Tilioideae stem age)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79.56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(71.89-95.11)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tabs>
                <w:tab w:val="left" w:pos="1968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/Brownlowioideae stem 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72.05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(70.34-74.62)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tabs>
                <w:tab w:val="left" w:pos="1968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/Malvatheca crown age (= /Bombacoideae and /Malvoideae stem ages)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71.67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(64.34-83.24)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tabs>
                <w:tab w:val="left" w:pos="1968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/Tilioideae and /Dombeyoideae stem ages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70.36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(70-71.53)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tabs>
                <w:tab w:val="left" w:pos="1968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/Bytneriina crown age (= /Bytnerioideae and /Grewioideae stem ages)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65.67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(65-67.9)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34">
      <w:pPr>
        <w:tabs>
          <w:tab w:val="left" w:pos="1968"/>
        </w:tabs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Notes: * Values in the table presented in millions of years ago.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HPD: Highest Posterior Density Interval;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PP: Posterior Probability value for that node.</w:t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9811A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D20BE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20BEF"/>
  </w:style>
  <w:style w:type="paragraph" w:styleId="Footer">
    <w:name w:val="footer"/>
    <w:basedOn w:val="Normal"/>
    <w:link w:val="FooterChar"/>
    <w:uiPriority w:val="99"/>
    <w:unhideWhenUsed w:val="1"/>
    <w:rsid w:val="00D20BE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20BEF"/>
  </w:style>
  <w:style w:type="character" w:styleId="Strong">
    <w:name w:val="Strong"/>
    <w:qFormat w:val="1"/>
    <w:rsid w:val="004E23D1"/>
    <w:rPr>
      <w:b w:val="1"/>
      <w:bCs w:val="1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hNr9iIOxCPKEe7AViADZnf4G7g==">AMUW2mXWSCChowaGjyJbXtOlHSBjhq3YPdy6o4hVmfgBzpwjZUMB5iehej3cpfFiS/i6kQkrrZau+u05JUyoUxapRi+vIFwEk3fwr/4Ukcl3ANE5n8hvcT0=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2020-03-03T08:53:00Z</dcterms:created>
  <dc:creator>China</dc:creator>
</cp:coreProperties>
</file>