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7B061" w14:textId="1EDA0616" w:rsidR="00A15725" w:rsidRDefault="00A15725" w:rsidP="00A15725">
      <w:pPr>
        <w:pStyle w:val="Heading1"/>
        <w:spacing w:line="480" w:lineRule="auto"/>
      </w:pPr>
      <w:bookmarkStart w:id="0" w:name="_Hlk525638680"/>
      <w:r>
        <w:t>Supplemental Methods</w:t>
      </w:r>
    </w:p>
    <w:p w14:paraId="2D283D81" w14:textId="137533B4" w:rsidR="00A15725" w:rsidRDefault="00A15725" w:rsidP="00A15725">
      <w:pPr>
        <w:spacing w:line="480" w:lineRule="auto"/>
      </w:pPr>
      <w:r>
        <w:t>The following methods were used for data cleaning</w:t>
      </w:r>
      <w:r w:rsidR="00D57722">
        <w:t xml:space="preserve"> and processing before statistical analyses.</w:t>
      </w:r>
    </w:p>
    <w:p w14:paraId="124D4F25" w14:textId="77777777" w:rsidR="00D57722" w:rsidRPr="00A15725" w:rsidRDefault="00D57722" w:rsidP="00A15725">
      <w:pPr>
        <w:spacing w:line="480" w:lineRule="auto"/>
      </w:pPr>
    </w:p>
    <w:p w14:paraId="6B999E7E" w14:textId="3239BA95" w:rsidR="00A15725" w:rsidRPr="00F37731" w:rsidRDefault="00A15725" w:rsidP="00A15725">
      <w:pPr>
        <w:pStyle w:val="Heading2"/>
        <w:spacing w:line="480" w:lineRule="auto"/>
      </w:pPr>
      <w:r>
        <w:t>Marker data</w:t>
      </w:r>
    </w:p>
    <w:p w14:paraId="7F62261B" w14:textId="6D6D7566" w:rsidR="00A15725" w:rsidRDefault="00A15725" w:rsidP="00A15725">
      <w:pPr>
        <w:spacing w:line="480" w:lineRule="auto"/>
        <w:ind w:firstLine="720"/>
        <w:jc w:val="both"/>
        <w:rPr>
          <w:sz w:val="24"/>
          <w:szCs w:val="24"/>
        </w:rPr>
      </w:pPr>
      <w:r w:rsidRPr="008F569D">
        <w:rPr>
          <w:rFonts w:cstheme="minorHAnsi"/>
          <w:sz w:val="24"/>
          <w:szCs w:val="24"/>
        </w:rPr>
        <w:t>Low coverage marker data were generated through Genotyping-By-Sequencing (GBS)</w:t>
      </w:r>
      <w:r w:rsidRPr="008F569D">
        <w:rPr>
          <w:rFonts w:cstheme="minorHAnsi"/>
          <w:sz w:val="24"/>
          <w:szCs w:val="24"/>
        </w:rPr>
        <w:fldChar w:fldCharType="begin" w:fldLock="1"/>
      </w:r>
      <w:r w:rsidR="000767E7">
        <w:rPr>
          <w:rFonts w:cstheme="minorHAnsi"/>
          <w:sz w:val="24"/>
          <w:szCs w:val="24"/>
        </w:rPr>
        <w:instrText>ADDIN CSL_CITATION {"citationItems":[{"id":"ITEM-1","itemData":{"DOI":"10.1371/journal.pone.0019379","author":[{"dropping-particle":"","family":"Elshire","given":"Robert J","non-dropping-particle":"","parse-names":false,"suffix":""},{"dropping-particle":"","family":"Glaubitz","given":"Jeffrey C","non-dropping-particle":"","parse-names":false,"suffix":""},{"dropping-particle":"","family":"Sun","given":"Qi","non-dropping-particle":"","parse-names":false,"suffix":""},{"dropping-particle":"","family":"Poland","given":"Jesse A","non-dropping-particle":"","parse-names":false,"suffix":""},{"dropping-particle":"","family":"Kawamoto","given":"Ken","non-dropping-particle":"","parse-names":false,"suffix":""},{"dropping-particle":"","family":"Buckler","given":"Edward S.","non-dropping-particle":"","parse-names":false,"suffix":""},{"dropping-particle":"","family":"Mitchell","given":"Sharon E","non-dropping-particle":"","parse-names":false,"suffix":""}],"container-title":"PLoS ONE","id":"ITEM-1","issue":"5","issued":{"date-parts":[["2011"]]},"page":"1-10","title":"A Robust , Simple Genotyping-by-Sequencing ( GBS ) Approach for High Diversity Species","type":"article-journal","volume":"6"},"uris":["http://www.mendeley.com/documents/?uuid=b1d1a975-6c0a-4ac8-82cc-8814770b7eae"]}],"mendeley":{"formattedCitation":"(Elshire &lt;i&gt;et al.&lt;/i&gt; 2011)","plainTextFormattedCitation":"(Elshire et al. 2011)","previouslyFormattedCitation":"(Elshire &lt;i&gt;et al.&lt;/i&gt; 2011)"},"properties":{"noteIndex":0},"schema":"https://github.com/citation-style-language/schema/raw/master/csl-citation.json"}</w:instrText>
      </w:r>
      <w:r w:rsidRPr="008F569D">
        <w:rPr>
          <w:rFonts w:cstheme="minorHAnsi"/>
          <w:sz w:val="24"/>
          <w:szCs w:val="24"/>
        </w:rPr>
        <w:fldChar w:fldCharType="separate"/>
      </w:r>
      <w:r w:rsidR="000767E7" w:rsidRPr="000767E7">
        <w:rPr>
          <w:rFonts w:cstheme="minorHAnsi"/>
          <w:noProof/>
          <w:sz w:val="24"/>
          <w:szCs w:val="24"/>
        </w:rPr>
        <w:t xml:space="preserve">(Elshire </w:t>
      </w:r>
      <w:r w:rsidR="000767E7" w:rsidRPr="000767E7">
        <w:rPr>
          <w:rFonts w:cstheme="minorHAnsi"/>
          <w:i/>
          <w:noProof/>
          <w:sz w:val="24"/>
          <w:szCs w:val="24"/>
        </w:rPr>
        <w:t>et al.</w:t>
      </w:r>
      <w:r w:rsidR="000767E7" w:rsidRPr="000767E7">
        <w:rPr>
          <w:rFonts w:cstheme="minorHAnsi"/>
          <w:noProof/>
          <w:sz w:val="24"/>
          <w:szCs w:val="24"/>
        </w:rPr>
        <w:t xml:space="preserve"> 2011)</w:t>
      </w:r>
      <w:r w:rsidRPr="008F569D">
        <w:rPr>
          <w:rFonts w:cstheme="minorHAnsi"/>
          <w:sz w:val="24"/>
          <w:szCs w:val="24"/>
        </w:rPr>
        <w:fldChar w:fldCharType="end"/>
      </w:r>
      <w:r w:rsidRPr="008F569D">
        <w:rPr>
          <w:rFonts w:cstheme="minorHAnsi"/>
          <w:sz w:val="24"/>
          <w:szCs w:val="24"/>
        </w:rPr>
        <w:t xml:space="preserve"> for inbred parental lines at the  Cornell University </w:t>
      </w:r>
      <w:r w:rsidR="000767E7" w:rsidRPr="008F569D">
        <w:rPr>
          <w:rFonts w:cstheme="minorHAnsi"/>
          <w:sz w:val="24"/>
          <w:szCs w:val="24"/>
        </w:rPr>
        <w:t>Institute for Genomic Diversity</w:t>
      </w:r>
      <w:r w:rsidR="005445FC">
        <w:rPr>
          <w:rFonts w:cstheme="minorHAnsi"/>
          <w:sz w:val="24"/>
          <w:szCs w:val="24"/>
        </w:rPr>
        <w:t xml:space="preserve"> and at the University of Wisconsin</w:t>
      </w:r>
      <w:r w:rsidR="000767E7" w:rsidRPr="008F569D">
        <w:rPr>
          <w:rFonts w:cstheme="minorHAnsi"/>
          <w:sz w:val="24"/>
          <w:szCs w:val="24"/>
        </w:rPr>
        <w:t xml:space="preserve"> </w:t>
      </w:r>
      <w:r w:rsidR="005445FC">
        <w:rPr>
          <w:rFonts w:cstheme="minorHAnsi"/>
          <w:sz w:val="24"/>
          <w:szCs w:val="24"/>
        </w:rPr>
        <w:t xml:space="preserve">Biotechnology Center </w:t>
      </w:r>
      <w:r w:rsidRPr="008F569D">
        <w:rPr>
          <w:rFonts w:cstheme="minorHAnsi"/>
          <w:sz w:val="24"/>
          <w:szCs w:val="24"/>
        </w:rPr>
        <w:t>using the TASSEL-GBS Pipeline</w:t>
      </w:r>
      <w:r w:rsidR="005445FC">
        <w:rPr>
          <w:rFonts w:cstheme="minorHAnsi"/>
          <w:sz w:val="24"/>
          <w:szCs w:val="24"/>
        </w:rPr>
        <w:t xml:space="preserve"> </w:t>
      </w:r>
      <w:r w:rsidRPr="008F569D">
        <w:rPr>
          <w:rFonts w:cstheme="minorHAnsi"/>
          <w:sz w:val="24"/>
          <w:szCs w:val="24"/>
        </w:rPr>
        <w:fldChar w:fldCharType="begin" w:fldLock="1"/>
      </w:r>
      <w:r w:rsidR="000767E7">
        <w:rPr>
          <w:rFonts w:cstheme="minorHAnsi"/>
          <w:sz w:val="24"/>
          <w:szCs w:val="24"/>
        </w:rPr>
        <w:instrText>ADDIN CSL_CITATION {"citationItems":[{"id":"ITEM-1","itemData":{"DOI":"10.1093/bioinformatics/btm308","ISBN":"13674803 (ISSN)","ISSN":"13674803","PMID":"17586829","abstract":"Association analyses that exploit the natural diversity of a genome to map at very high resolutions are becoming increasingly important. In most studies, however, researchers must contend with the confounding effects of both population and family structure. TASSEL (Trait Analysis by aSSociation, Evolution and Linkage) implements general linear model and mixed linear model approaches for controlling population and family structure. For result interpretation, the program allows for linkage disequilibrium statistics to be calculated and visualized graphically. Database browsing and data importation is facilitated by integrated middleware. Other features include analyzing insertions/deletions, calculating diversity statistics, integration of phenotypic and genotypic data, imputing missing data and calculating principal components.","author":[{"dropping-particle":"","family":"Bradbury","given":"Peter J.","non-dropping-particle":"","parse-names":false,"suffix":""},{"dropping-particle":"","family":"Zhang","given":"Zhiwu","non-dropping-particle":"","parse-names":false,"suffix":""},{"dropping-particle":"","family":"Kroon","given":"Dallas E.","non-dropping-particle":"","parse-names":false,"suffix":""},{"dropping-particle":"","family":"Casstevens","given":"Terry M.","non-dropping-particle":"","parse-names":false,"suffix":""},{"dropping-particle":"","family":"Ramdoss","given":"Yogesh","non-dropping-particle":"","parse-names":false,"suffix":""},{"dropping-particle":"","family":"Buckler","given":"Edward S.","non-dropping-particle":"","parse-names":false,"suffix":""}],"container-title":"Bioinformatics","id":"ITEM-1","issue":"19","issued":{"date-parts":[["2007"]]},"page":"2633-2635","title":"TASSEL: Software for association mapping of complex traits in diverse samples","type":"article-journal","volume":"23"},"uris":["http://www.mendeley.com/documents/?uuid=85ea2150-3f22-47cf-936c-292cd3a7d939"]},{"id":"ITEM-2","itemData":{"DOI":"10.1371/journal.pone.0090346","author":[{"dropping-particle":"","family":"Glaubitz","given":"Jeffrey C","non-dropping-particle":"","parse-names":false,"suffix":""},{"dropping-particle":"","family":"Casstevens","given":"Terry M.","non-dropping-particle":"","parse-names":false,"suffix":""},{"dropping-particle":"","family":"Lu","given":"Fei","non-dropping-particle":"","parse-names":false,"suffix":""},{"dropping-particle":"","family":"Harriman","given":"James","non-dropping-particle":"","parse-names":false,"suffix":""},{"dropping-particle":"","family":"Elshire","given":"Robert J","non-dropping-particle":"","parse-names":false,"suffix":""},{"dropping-particle":"","family":"Sun","given":"Qi","non-dropping-particle":"","parse-names":false,"suffix":""},{"dropping-particle":"","family":"Buckler","given":"Edward S.","non-dropping-particle":"","parse-names":false,"suffix":""}],"container-title":"PLoS ONE","id":"ITEM-2","issue":"2","issued":{"date-parts":[["2014"]]},"title":"TASSEL-GBS : A High Capacity Genotyping by Sequencing Analysis Pipeline","type":"article-journal","volume":"9"},"uris":["http://www.mendeley.com/documents/?uuid=e7ae6fcb-1aec-484d-965c-07ad75507c25"]}],"mendeley":{"formattedCitation":"(Bradbury &lt;i&gt;et al.&lt;/i&gt; 2007; Glaubitz &lt;i&gt;et al.&lt;/i&gt; 2014)","plainTextFormattedCitation":"(Bradbury et al. 2007; Glaubitz et al. 2014)","previouslyFormattedCitation":"(Bradbury &lt;i&gt;et al.&lt;/i&gt; 2007; Glaubitz &lt;i&gt;et al.&lt;/i&gt; 2014)"},"properties":{"noteIndex":0},"schema":"https://github.com/citation-style-language/schema/raw/master/csl-citation.json"}</w:instrText>
      </w:r>
      <w:r w:rsidRPr="008F569D">
        <w:rPr>
          <w:rFonts w:cstheme="minorHAnsi"/>
          <w:sz w:val="24"/>
          <w:szCs w:val="24"/>
        </w:rPr>
        <w:fldChar w:fldCharType="separate"/>
      </w:r>
      <w:r w:rsidR="000767E7" w:rsidRPr="000767E7">
        <w:rPr>
          <w:rFonts w:cstheme="minorHAnsi"/>
          <w:noProof/>
          <w:sz w:val="24"/>
          <w:szCs w:val="24"/>
        </w:rPr>
        <w:t xml:space="preserve">(Bradbury </w:t>
      </w:r>
      <w:r w:rsidR="000767E7" w:rsidRPr="000767E7">
        <w:rPr>
          <w:rFonts w:cstheme="minorHAnsi"/>
          <w:i/>
          <w:noProof/>
          <w:sz w:val="24"/>
          <w:szCs w:val="24"/>
        </w:rPr>
        <w:t>et al.</w:t>
      </w:r>
      <w:r w:rsidR="000767E7" w:rsidRPr="000767E7">
        <w:rPr>
          <w:rFonts w:cstheme="minorHAnsi"/>
          <w:noProof/>
          <w:sz w:val="24"/>
          <w:szCs w:val="24"/>
        </w:rPr>
        <w:t xml:space="preserve"> 2007; Glaubitz </w:t>
      </w:r>
      <w:r w:rsidR="000767E7" w:rsidRPr="000767E7">
        <w:rPr>
          <w:rFonts w:cstheme="minorHAnsi"/>
          <w:i/>
          <w:noProof/>
          <w:sz w:val="24"/>
          <w:szCs w:val="24"/>
        </w:rPr>
        <w:t>et al.</w:t>
      </w:r>
      <w:r w:rsidR="000767E7" w:rsidRPr="000767E7">
        <w:rPr>
          <w:rFonts w:cstheme="minorHAnsi"/>
          <w:noProof/>
          <w:sz w:val="24"/>
          <w:szCs w:val="24"/>
        </w:rPr>
        <w:t xml:space="preserve"> 2014)</w:t>
      </w:r>
      <w:r w:rsidRPr="008F569D">
        <w:rPr>
          <w:rFonts w:cstheme="minorHAnsi"/>
          <w:sz w:val="24"/>
          <w:szCs w:val="24"/>
        </w:rPr>
        <w:fldChar w:fldCharType="end"/>
      </w:r>
      <w:r w:rsidRPr="008F569D">
        <w:rPr>
          <w:rFonts w:cstheme="minorHAnsi"/>
          <w:sz w:val="24"/>
          <w:szCs w:val="24"/>
        </w:rPr>
        <w:t xml:space="preserve"> to create a </w:t>
      </w:r>
      <w:proofErr w:type="spellStart"/>
      <w:r w:rsidRPr="008F569D">
        <w:rPr>
          <w:rFonts w:cstheme="minorHAnsi"/>
          <w:sz w:val="24"/>
          <w:szCs w:val="24"/>
        </w:rPr>
        <w:t>TagsOnAPhysicalMap</w:t>
      </w:r>
      <w:proofErr w:type="spellEnd"/>
      <w:r w:rsidRPr="008F569D">
        <w:rPr>
          <w:rFonts w:cstheme="minorHAnsi"/>
          <w:sz w:val="24"/>
          <w:szCs w:val="24"/>
        </w:rPr>
        <w:t xml:space="preserve"> (TOPM) file from version 2 of the maize reference genome (TOPM file AGPv2).  SNPs aligned to the TOPM were later uplifted to version 4 of the maize reference genome.</w:t>
      </w:r>
      <w:r w:rsidRPr="008F569D">
        <w:rPr>
          <w:sz w:val="24"/>
          <w:szCs w:val="24"/>
        </w:rPr>
        <w:t xml:space="preserve">  The raw GBS dataset available on </w:t>
      </w:r>
      <w:proofErr w:type="spellStart"/>
      <w:r w:rsidRPr="008F569D">
        <w:rPr>
          <w:sz w:val="24"/>
          <w:szCs w:val="24"/>
        </w:rPr>
        <w:t>Cyverse</w:t>
      </w:r>
      <w:proofErr w:type="spellEnd"/>
      <w:r w:rsidR="000767E7">
        <w:rPr>
          <w:sz w:val="24"/>
          <w:szCs w:val="24"/>
        </w:rPr>
        <w:t xml:space="preserve"> </w:t>
      </w:r>
      <w:r w:rsidRPr="008F569D">
        <w:rPr>
          <w:sz w:val="24"/>
          <w:szCs w:val="24"/>
        </w:rPr>
        <w:fldChar w:fldCharType="begin" w:fldLock="1"/>
      </w:r>
      <w:r w:rsidR="000767E7">
        <w:rPr>
          <w:sz w:val="24"/>
          <w:szCs w:val="24"/>
        </w:rPr>
        <w:instrText>ADDIN CSL_CITATION {"citationItems":[{"id":"ITEM-1","itemData":{"URL":"www.cyverse.org","accessed":{"date-parts":[["2020","6","20"]]},"author":[{"dropping-particle":"","family":"Cyverse","given":"","non-dropping-particle":"","parse-names":false,"suffix":""}],"id":"ITEM-1","issued":{"date-parts":[["0"]]},"title":"www.cyverse.org","type":"webpage"},"uris":["http://www.mendeley.com/documents/?uuid=f945a078-4d12-49be-85ce-b7d789ee73a7"]}],"mendeley":{"formattedCitation":"(Cyverse)","plainTextFormattedCitation":"(Cyverse)","previouslyFormattedCitation":"(Cyverse)"},"properties":{"noteIndex":0},"schema":"https://github.com/citation-style-language/schema/raw/master/csl-citation.json"}</w:instrText>
      </w:r>
      <w:r w:rsidRPr="008F569D">
        <w:rPr>
          <w:sz w:val="24"/>
          <w:szCs w:val="24"/>
        </w:rPr>
        <w:fldChar w:fldCharType="separate"/>
      </w:r>
      <w:r w:rsidR="000767E7" w:rsidRPr="000767E7">
        <w:rPr>
          <w:noProof/>
          <w:sz w:val="24"/>
          <w:szCs w:val="24"/>
        </w:rPr>
        <w:t>(Cyverse)</w:t>
      </w:r>
      <w:r w:rsidRPr="008F569D">
        <w:rPr>
          <w:sz w:val="24"/>
          <w:szCs w:val="24"/>
        </w:rPr>
        <w:fldChar w:fldCharType="end"/>
      </w:r>
      <w:r w:rsidRPr="008F569D">
        <w:rPr>
          <w:sz w:val="24"/>
          <w:szCs w:val="24"/>
        </w:rPr>
        <w:t xml:space="preserve"> contained 955,690 markers and 1</w:t>
      </w:r>
      <w:r w:rsidR="000767E7">
        <w:rPr>
          <w:sz w:val="24"/>
          <w:szCs w:val="24"/>
        </w:rPr>
        <w:t>,</w:t>
      </w:r>
      <w:r w:rsidRPr="008F569D">
        <w:rPr>
          <w:sz w:val="24"/>
          <w:szCs w:val="24"/>
        </w:rPr>
        <w:t xml:space="preserve">517 inbred parental lines, including duplicates of some lines.   These data underwent a number of cleaning and filtering techniques to arrive at a dataset of 1,918 hybrid </w:t>
      </w:r>
      <w:r w:rsidR="000767E7">
        <w:rPr>
          <w:sz w:val="24"/>
          <w:szCs w:val="24"/>
        </w:rPr>
        <w:t>crosses</w:t>
      </w:r>
      <w:r w:rsidR="000767E7" w:rsidRPr="008F569D">
        <w:rPr>
          <w:sz w:val="24"/>
          <w:szCs w:val="24"/>
        </w:rPr>
        <w:t xml:space="preserve"> </w:t>
      </w:r>
      <w:r w:rsidRPr="008F569D">
        <w:rPr>
          <w:sz w:val="24"/>
          <w:szCs w:val="24"/>
        </w:rPr>
        <w:t xml:space="preserve">with 20,373 markers distributed across the genome (Figure </w:t>
      </w:r>
      <w:r w:rsidR="002E7337">
        <w:rPr>
          <w:sz w:val="24"/>
          <w:szCs w:val="24"/>
        </w:rPr>
        <w:t>S7</w:t>
      </w:r>
      <w:r w:rsidRPr="008F569D">
        <w:rPr>
          <w:sz w:val="24"/>
          <w:szCs w:val="24"/>
        </w:rPr>
        <w:t xml:space="preserve">).  </w:t>
      </w:r>
    </w:p>
    <w:p w14:paraId="735CCE05" w14:textId="05302260" w:rsidR="00A15725" w:rsidRDefault="00A15725" w:rsidP="00A15725">
      <w:pPr>
        <w:spacing w:line="480" w:lineRule="auto"/>
        <w:ind w:firstLine="720"/>
        <w:jc w:val="both"/>
        <w:rPr>
          <w:sz w:val="24"/>
          <w:szCs w:val="24"/>
        </w:rPr>
      </w:pPr>
      <w:r>
        <w:rPr>
          <w:sz w:val="24"/>
          <w:szCs w:val="24"/>
        </w:rPr>
        <w:t>First, m</w:t>
      </w:r>
      <w:r w:rsidRPr="008F569D">
        <w:rPr>
          <w:sz w:val="24"/>
          <w:szCs w:val="24"/>
        </w:rPr>
        <w:t xml:space="preserve">arkers with greater than 40% missing data were removed in TASSEL </w:t>
      </w:r>
      <w:r w:rsidRPr="008F569D">
        <w:rPr>
          <w:sz w:val="24"/>
          <w:szCs w:val="24"/>
        </w:rPr>
        <w:fldChar w:fldCharType="begin" w:fldLock="1"/>
      </w:r>
      <w:r w:rsidR="000767E7">
        <w:rPr>
          <w:sz w:val="24"/>
          <w:szCs w:val="24"/>
        </w:rPr>
        <w:instrText>ADDIN CSL_CITATION {"citationItems":[{"id":"ITEM-1","itemData":{"DOI":"10.1093/bioinformatics/btm308","ISBN":"13674803 (ISSN)","ISSN":"13674803","PMID":"17586829","abstract":"Association analyses that exploit the natural diversity of a genome to map at very high resolutions are becoming increasingly important. In most studies, however, researchers must contend with the confounding effects of both population and family structure. TASSEL (Trait Analysis by aSSociation, Evolution and Linkage) implements general linear model and mixed linear model approaches for controlling population and family structure. For result interpretation, the program allows for linkage disequilibrium statistics to be calculated and visualized graphically. Database browsing and data importation is facilitated by integrated middleware. Other features include analyzing insertions/deletions, calculating diversity statistics, integration of phenotypic and genotypic data, imputing missing data and calculating principal components.","author":[{"dropping-particle":"","family":"Bradbury","given":"Peter J.","non-dropping-particle":"","parse-names":false,"suffix":""},{"dropping-particle":"","family":"Zhang","given":"Zhiwu","non-dropping-particle":"","parse-names":false,"suffix":""},{"dropping-particle":"","family":"Kroon","given":"Dallas E.","non-dropping-particle":"","parse-names":false,"suffix":""},{"dropping-particle":"","family":"Casstevens","given":"Terry M.","non-dropping-particle":"","parse-names":false,"suffix":""},{"dropping-particle":"","family":"Ramdoss","given":"Yogesh","non-dropping-particle":"","parse-names":false,"suffix":""},{"dropping-particle":"","family":"Buckler","given":"Edward S.","non-dropping-particle":"","parse-names":false,"suffix":""}],"container-title":"Bioinformatics","id":"ITEM-1","issue":"19","issued":{"date-parts":[["2007"]]},"page":"2633-2635","title":"TASSEL: Software for association mapping of complex traits in diverse samples","type":"article-journal","volume":"23"},"uris":["http://www.mendeley.com/documents/?uuid=85ea2150-3f22-47cf-936c-292cd3a7d939"]}],"mendeley":{"formattedCitation":"(Bradbury &lt;i&gt;et al.&lt;/i&gt; 2007)","plainTextFormattedCitation":"(Bradbury et al. 2007)","previouslyFormattedCitation":"(Bradbury &lt;i&gt;et al.&lt;/i&gt; 2007)"},"properties":{"noteIndex":0},"schema":"https://github.com/citation-style-language/schema/raw/master/csl-citation.json"}</w:instrText>
      </w:r>
      <w:r w:rsidRPr="008F569D">
        <w:rPr>
          <w:sz w:val="24"/>
          <w:szCs w:val="24"/>
        </w:rPr>
        <w:fldChar w:fldCharType="separate"/>
      </w:r>
      <w:r w:rsidR="000767E7" w:rsidRPr="000767E7">
        <w:rPr>
          <w:noProof/>
          <w:sz w:val="24"/>
          <w:szCs w:val="24"/>
        </w:rPr>
        <w:t xml:space="preserve">(Bradbury </w:t>
      </w:r>
      <w:r w:rsidR="000767E7" w:rsidRPr="000767E7">
        <w:rPr>
          <w:i/>
          <w:noProof/>
          <w:sz w:val="24"/>
          <w:szCs w:val="24"/>
        </w:rPr>
        <w:t>et al.</w:t>
      </w:r>
      <w:r w:rsidR="000767E7" w:rsidRPr="000767E7">
        <w:rPr>
          <w:noProof/>
          <w:sz w:val="24"/>
          <w:szCs w:val="24"/>
        </w:rPr>
        <w:t xml:space="preserve"> 2007)</w:t>
      </w:r>
      <w:r w:rsidRPr="008F569D">
        <w:rPr>
          <w:sz w:val="24"/>
          <w:szCs w:val="24"/>
        </w:rPr>
        <w:fldChar w:fldCharType="end"/>
      </w:r>
      <w:r w:rsidRPr="008F569D">
        <w:rPr>
          <w:sz w:val="24"/>
          <w:szCs w:val="24"/>
        </w:rPr>
        <w:t xml:space="preserve"> using the Filter Genotype Table Sites option. Next, an analysis of depth per marker was performed to check for markers with very high sequencing depth, suggesting mapping of paralogs to a single marker location.  A custom </w:t>
      </w:r>
      <w:r w:rsidR="000767E7">
        <w:rPr>
          <w:sz w:val="24"/>
          <w:szCs w:val="24"/>
        </w:rPr>
        <w:t>P</w:t>
      </w:r>
      <w:r w:rsidR="000767E7" w:rsidRPr="008F569D">
        <w:rPr>
          <w:sz w:val="24"/>
          <w:szCs w:val="24"/>
        </w:rPr>
        <w:t xml:space="preserve">ython </w:t>
      </w:r>
      <w:r w:rsidRPr="008F569D">
        <w:rPr>
          <w:sz w:val="24"/>
          <w:szCs w:val="24"/>
        </w:rPr>
        <w:t xml:space="preserve">script was used to extract read depths associated with each genotype call from a VCF file.  Depth analysis was performed in R using a custom script to examine the distribution of read depth calls for data in two ways </w:t>
      </w:r>
      <w:r w:rsidRPr="008F569D">
        <w:rPr>
          <w:sz w:val="24"/>
          <w:szCs w:val="24"/>
        </w:rPr>
        <w:fldChar w:fldCharType="begin" w:fldLock="1"/>
      </w:r>
      <w:r w:rsidR="000767E7">
        <w:rPr>
          <w:sz w:val="24"/>
          <w:szCs w:val="24"/>
        </w:rPr>
        <w:instrText>ADDIN CSL_CITATION {"citationItems":[{"id":"ITEM-1","itemData":{"author":[{"dropping-particle":"","family":"R Core Team","given":"","non-dropping-particle":"","parse-names":false,"suffix":""}],"id":"ITEM-1","issued":{"date-parts":[["0"]]},"publisher":"R Foundation for Statistical Computing","publisher-place":"Vienna, Austria","title":"R: A language and environment for statistical computing","type":"article"},"uris":["http://www.mendeley.com/documents/?uuid=66c270a2-13dd-4b4c-b4f1-0cd4045ce072"]}],"mendeley":{"formattedCitation":"(R Core Team)","plainTextFormattedCitation":"(R Core Team)","previouslyFormattedCitation":"(R Core Team)"},"properties":{"noteIndex":0},"schema":"https://github.com/citation-style-language/schema/raw/master/csl-citation.json"}</w:instrText>
      </w:r>
      <w:r w:rsidRPr="008F569D">
        <w:rPr>
          <w:sz w:val="24"/>
          <w:szCs w:val="24"/>
        </w:rPr>
        <w:fldChar w:fldCharType="separate"/>
      </w:r>
      <w:r w:rsidR="000767E7" w:rsidRPr="000767E7">
        <w:rPr>
          <w:noProof/>
          <w:sz w:val="24"/>
          <w:szCs w:val="24"/>
        </w:rPr>
        <w:t>(R Core Team)</w:t>
      </w:r>
      <w:r w:rsidRPr="008F569D">
        <w:rPr>
          <w:sz w:val="24"/>
          <w:szCs w:val="24"/>
        </w:rPr>
        <w:fldChar w:fldCharType="end"/>
      </w:r>
      <w:r w:rsidRPr="008F569D">
        <w:rPr>
          <w:sz w:val="24"/>
          <w:szCs w:val="24"/>
        </w:rPr>
        <w:t xml:space="preserve">.  First, total depth per marker was examined to see if any markers had particularly high depth as a first pass </w:t>
      </w:r>
      <w:r w:rsidRPr="008F569D">
        <w:rPr>
          <w:sz w:val="24"/>
          <w:szCs w:val="24"/>
        </w:rPr>
        <w:lastRenderedPageBreak/>
        <w:t xml:space="preserve">searching for possible alignment of paralogs.  Second, a matrix of depth values for each inbred line and marker combination was examined to determine a reasonable cut off for removal.  Markers with any read depth over 40 corresponding to an individual genotype call were considered possible cases of alignment of paralogs and were removed from analysis, leaving 188,799 markers in the dataset.  </w:t>
      </w:r>
    </w:p>
    <w:p w14:paraId="4A588B87" w14:textId="2B1518DD" w:rsidR="00A15725" w:rsidRDefault="00A15725" w:rsidP="00A15725">
      <w:pPr>
        <w:spacing w:line="480" w:lineRule="auto"/>
        <w:ind w:firstLine="720"/>
        <w:jc w:val="both"/>
        <w:rPr>
          <w:color w:val="000000" w:themeColor="text1"/>
          <w:sz w:val="24"/>
          <w:szCs w:val="24"/>
        </w:rPr>
      </w:pPr>
      <w:r w:rsidRPr="008F569D">
        <w:rPr>
          <w:sz w:val="24"/>
          <w:szCs w:val="24"/>
        </w:rPr>
        <w:t>Next, markers with greater than 20% missing data were removed using TASSEL to minimize the need for imputation of missing values (retaining 59,122 markers after this step).  Heterozygosity was analyzed in TASSEL using the Analyze Heterozygosity function, and markers with greater than 5% heterozygosity among the inbred parents were removed, leaving 57,536 markers.  Heterozygos</w:t>
      </w:r>
      <w:r w:rsidRPr="008F569D">
        <w:rPr>
          <w:color w:val="000000" w:themeColor="text1"/>
          <w:sz w:val="24"/>
          <w:szCs w:val="24"/>
        </w:rPr>
        <w:t xml:space="preserve">ity was analyzed a second time by inbred line. Inbred lines with greater than 5% heterozygosity were removed, leaving 1,371 parental lines.  After this, imputation was performed using LD </w:t>
      </w:r>
      <w:proofErr w:type="spellStart"/>
      <w:r w:rsidRPr="008F569D">
        <w:rPr>
          <w:color w:val="000000" w:themeColor="text1"/>
          <w:sz w:val="24"/>
          <w:szCs w:val="24"/>
        </w:rPr>
        <w:t>KNNi</w:t>
      </w:r>
      <w:proofErr w:type="spellEnd"/>
      <w:r w:rsidRPr="008F569D">
        <w:rPr>
          <w:color w:val="000000" w:themeColor="text1"/>
          <w:sz w:val="24"/>
          <w:szCs w:val="24"/>
        </w:rPr>
        <w:t xml:space="preserve"> </w:t>
      </w:r>
      <w:r w:rsidRPr="008F569D">
        <w:rPr>
          <w:color w:val="000000" w:themeColor="text1"/>
          <w:sz w:val="24"/>
          <w:szCs w:val="24"/>
        </w:rPr>
        <w:fldChar w:fldCharType="begin" w:fldLock="1"/>
      </w:r>
      <w:r w:rsidR="000767E7">
        <w:rPr>
          <w:color w:val="000000" w:themeColor="text1"/>
          <w:sz w:val="24"/>
          <w:szCs w:val="24"/>
        </w:rPr>
        <w:instrText>ADDIN CSL_CITATION {"citationItems":[{"id":"ITEM-1","itemData":{"DOI":"10.1534/g3.115.021667","ISSN":"2160-1836","PMID":"26377960","abstract":"Obtaining genome-wide genotype data from a set of individuals is the first step in many genomic studies, including genome-wide association and genomic selection. All genotyping methods suffer from some level of missing data and genotype imputation can be used to fill in the missing data and improve the power of downstream analyses. Model organisms like human and cattle benefit from high-quality reference genomes and panels of reference genotypes that aid imputation accuracy. However, in non-model organisms, genetic and physical maps are often either of poor quality or are completely absent and there are no panels of reference genotypes available. There is therefore a need for imputation methods designed specifically for non-model organisms in which genomic resources are poorly developed and marker order is unreliable or unknown. Here we introduce LinkImpute, a software package based on a k-nearest neighbor genotype imputation method, LD-kNNi, which is designed for unordered markers. No physical or genetic maps are required and it is designed to work on unphased genotype data from heterozygous species. It exploits the fact that markers useful for imputation are often not physically close to the missing genotype but rather distributed throughout the genome. Using genotyping-by-sequencing data from diverse and heterozygous accessions of apples, grapes and maize, we compare LD-kNNi to several genotype imputation methods and show that LD-kNNi is fast, comparable in accuracy to the best existing methods and exhibits the least bias in allele frequency estimates.","author":[{"dropping-particle":"","family":"Money","given":"Daniel","non-dropping-particle":"","parse-names":false,"suffix":""},{"dropping-particle":"","family":"Gardner","given":"Kyle","non-dropping-particle":"","parse-names":false,"suffix":""},{"dropping-particle":"","family":"Migicovsky","given":"Zoë","non-dropping-particle":"","parse-names":false,"suffix":""},{"dropping-particle":"","family":"Schwaninger","given":"Heidi","non-dropping-particle":"","parse-names":false,"suffix":""},{"dropping-particle":"","family":"Zhong","given":"Gan-Yuan","non-dropping-particle":"","parse-names":false,"suffix":""},{"dropping-particle":"","family":"Myles","given":"Sean","non-dropping-particle":"","parse-names":false,"suffix":""}],"container-title":"G3: Genes, Genomes, Genetics","id":"ITEM-1","issue":"11","issued":{"date-parts":[["2015"]]},"page":"2383-2390","title":"LinkImpute: Fast and Accurate Genotype Imputation for Nonmodel Organisms","type":"article-journal","volume":"5"},"uris":["http://www.mendeley.com/documents/?uuid=1fd17d8a-9f21-4a2a-9ec5-316002997abf"]}],"mendeley":{"formattedCitation":"(Money &lt;i&gt;et al.&lt;/i&gt; 2015)","plainTextFormattedCitation":"(Money et al. 2015)","previouslyFormattedCitation":"(Money &lt;i&gt;et al.&lt;/i&gt; 2015)"},"properties":{"noteIndex":0},"schema":"https://github.com/citation-style-language/schema/raw/master/csl-citation.json"}</w:instrText>
      </w:r>
      <w:r w:rsidRPr="008F569D">
        <w:rPr>
          <w:color w:val="000000" w:themeColor="text1"/>
          <w:sz w:val="24"/>
          <w:szCs w:val="24"/>
        </w:rPr>
        <w:fldChar w:fldCharType="separate"/>
      </w:r>
      <w:r w:rsidR="000767E7" w:rsidRPr="000767E7">
        <w:rPr>
          <w:noProof/>
          <w:color w:val="000000" w:themeColor="text1"/>
          <w:sz w:val="24"/>
          <w:szCs w:val="24"/>
        </w:rPr>
        <w:t xml:space="preserve">(Money </w:t>
      </w:r>
      <w:r w:rsidR="000767E7" w:rsidRPr="000767E7">
        <w:rPr>
          <w:i/>
          <w:noProof/>
          <w:color w:val="000000" w:themeColor="text1"/>
          <w:sz w:val="24"/>
          <w:szCs w:val="24"/>
        </w:rPr>
        <w:t>et al.</w:t>
      </w:r>
      <w:r w:rsidR="000767E7" w:rsidRPr="000767E7">
        <w:rPr>
          <w:noProof/>
          <w:color w:val="000000" w:themeColor="text1"/>
          <w:sz w:val="24"/>
          <w:szCs w:val="24"/>
        </w:rPr>
        <w:t xml:space="preserve"> 2015)</w:t>
      </w:r>
      <w:r w:rsidRPr="008F569D">
        <w:rPr>
          <w:color w:val="000000" w:themeColor="text1"/>
          <w:sz w:val="24"/>
          <w:szCs w:val="24"/>
        </w:rPr>
        <w:fldChar w:fldCharType="end"/>
      </w:r>
      <w:r w:rsidRPr="008F569D">
        <w:rPr>
          <w:color w:val="000000" w:themeColor="text1"/>
          <w:sz w:val="24"/>
          <w:szCs w:val="24"/>
        </w:rPr>
        <w:t xml:space="preserve"> in TASSEL with default settings for High LD Sites = 30; Number of nearest neighbors = 10; Max distance between site to find LD = 10,000,000.  This method was chosen because some samples were in the GBS dataset multiple times and samples in the dataset were known to have population structure from past studies </w:t>
      </w:r>
      <w:r w:rsidRPr="008F569D">
        <w:rPr>
          <w:color w:val="000000" w:themeColor="text1"/>
          <w:sz w:val="24"/>
          <w:szCs w:val="24"/>
        </w:rPr>
        <w:fldChar w:fldCharType="begin" w:fldLock="1"/>
      </w:r>
      <w:r w:rsidR="000767E7">
        <w:rPr>
          <w:color w:val="000000" w:themeColor="text1"/>
          <w:sz w:val="24"/>
          <w:szCs w:val="24"/>
        </w:rPr>
        <w:instrText>ADDIN CSL_CITATION {"citationItems":[{"id":"ITEM-1","itemData":{"DOI":"10.1186/gb-2013-14-6-r55","ISBN":"1465-6914 (Electronic) 1465-6906 (Linking)","ISSN":"1474-760X","PMID":"23759205","abstract":"BACKGROUND: Genotyping by sequencing, a new low-cost, high-throughput sequencing technology was used to genotype 2,815 maize inbred accessions, preserved mostly at the National Plant Germplasm System in the USA. The collection includes inbred lines from breeding programs all over the world.\\n\\nRESULTS: The method produced 681,257 single-nucleotide polymorphism (SNP) markers distributed across the entire genome, with the ability to detect rare alleles at high confidence levels. More than half of the SNPs in the collection are rare. Although most rare alleles have been incorporated into public temperate breeding programs, only a modest amount of the available diversity is present in the commercial germplasm. Analysis of genetic distances shows population stratification, including a small number of large clusters centered on key lines. Nevertheless, an average fixation index of 0.06 indicates moderate differentiation between the three major maize subpopulations. Linkage disequilibrium (LD) decays very rapidly, but the extent of LD is highly dependent on the particular group of germplasm and region of the genome. The utility of these data for performing genome-wide association studies was tested with two simply inherited traits and one complex trait. We identified trait associations at SNPs very close to known candidate genes for kernel color, sweet corn, and flowering time; however, results suggest that more SNPs are needed to better explore the genetic architecture of complex traits.\\n\\nCONCLUSIONS: The genotypic information described here allows this publicly available panel to be exploited by researchers facing the challenges of sustainable agriculture through better knowledge of the nature of genetic diversity.","author":[{"dropping-particle":"","family":"Romay","given":"Maria Cinta","non-dropping-particle":"","parse-names":false,"suffix":""},{"dropping-particle":"","family":"Millard","given":"Mark J.","non-dropping-particle":"","parse-names":false,"suffix":""},{"dropping-particle":"","family":"Glaubitz","given":"Jeffrey C","non-dropping-particle":"","parse-names":false,"suffix":""},{"dropping-particle":"","family":"Peiffer","given":"Jason A.","non-dropping-particle":"","parse-names":false,"suffix":""},{"dropping-particle":"","family":"Swarts","given":"Kelly L","non-dropping-particle":"","parse-names":false,"suffix":""},{"dropping-particle":"","family":"Casstevens","given":"Terry M.","non-dropping-particle":"","parse-names":false,"suffix":""},{"dropping-particle":"","family":"Elshire","given":"Robert J","non-dropping-particle":"","parse-names":false,"suffix":""},{"dropping-particle":"","family":"Acharya","given":"Charlotte B","non-dropping-particle":"","parse-names":false,"suffix":""},{"dropping-particle":"","family":"Mitchell","given":"Sharon E","non-dropping-particle":"","parse-names":false,"suffix":""},{"dropping-particle":"","family":"Flint-Garcia","given":"Sherry A.","non-dropping-particle":"","parse-names":false,"suffix":""},{"dropping-particle":"","family":"McMullen","given":"Michael D.","non-dropping-particle":"","parse-names":false,"suffix":""},{"dropping-particle":"","family":"Holland","given":"James Brendan","non-dropping-particle":"","parse-names":false,"suffix":""},{"dropping-particle":"","family":"Buckler","given":"Edward S.","non-dropping-particle":"","parse-names":false,"suffix":""},{"dropping-particle":"","family":"Gardner","given":"Candice A.","non-dropping-particle":"","parse-names":false,"suffix":""}],"container-title":"Genome Biology","id":"ITEM-1","issue":"6","issued":{"date-parts":[["2013"]]},"page":"R55","title":"Comprehensive genotyping of the USA national maize inbred seed bank","type":"article-journal","volume":"14"},"uris":["http://www.mendeley.com/documents/?uuid=9baa706c-13d5-46eb-bf3c-573597c4ef1f"]},{"id":"ITEM-2","itemData":{"DOI":"10.1534/genetics.113.159152","ISBN":"1943-2631 (Electronic)\\r0016-6731 (Linking)","ISSN":"19432631","PMID":"24514905","abstract":"Height is one of the most heritable and easily measured traits in maize (Zea mays L.). Given a pedigree or estimates of the genomic identity-by-state among related plants, height is also accurately predictable. But, mapping alleles explaining natural variation in maize height remains a formidable challenge. To address this challenge, we measured the plant height, ear height, flowering time, and node counts of plants grown in &gt;64,500 plots across 13 environments. These plots contained &gt;7300 inbreds representing most publically available maize inbreds in the United States and families of the maize Nested Association Mapping (NAM) panel. Joint-linkage mapping of quantitative trait loci (QTL), fine mapping in near isogenic lines (NILs), genome-wide association studies (GWAS), and genomic best linear unbiased prediction (GBLUP) were performed. The heritability of maize height was estimated to be &gt;90%. Mapping NAM family-nested QTL revealed the largest explained 2.1 ± 0.9% of height variation. The effects of two tropical alleles at this QTL were independently validated by fine mapping in NIL families. Several significant associations found by GWAS colocalized with established height loci, including brassinosteroid-deficient dwarf1, dwarf plant1, and semi-dwarf2. GBLUP explained &gt;80% of height variation in the panels and outperformed bootstrap aggregation of family-nested QTL models in evaluations of prediction accuracy. These results revealed maize height was under strong genetic control and had a highly polygenic genetic architecture. They also showed that multiple models of genetic architecture differing in polygenicity and effect sizes can plausibly explain a population's variation in maize height, but they may vary in predictive efficacy.","author":[{"dropping-particle":"","family":"Peiffer","given":"Jason A.","non-dropping-particle":"","parse-names":false,"suffix":""},{"dropping-particle":"","family":"Romay","given":"Maria Cinta","non-dropping-particle":"","parse-names":false,"suffix":""},{"dropping-particle":"","family":"Gore","given":"Michael A.","non-dropping-particle":"","parse-names":false,"suffix":""},{"dropping-particle":"","family":"Flint-Garcia","given":"Sherry A.","non-dropping-particle":"","parse-names":false,"suffix":""},{"dropping-particle":"","family":"Zhang","given":"Zhiwu","non-dropping-particle":"","parse-names":false,"suffix":""},{"dropping-particle":"","family":"Millard","given":"Mark J.","non-dropping-particle":"","parse-names":false,"suffix":""},{"dropping-particle":"","family":"Gardner","given":"Candice A.","non-dropping-particle":"","parse-names":false,"suffix":""},{"dropping-particle":"","family":"McMullen","given":"Michael D.","non-dropping-particle":"","parse-names":false,"suffix":""},{"dropping-particle":"","family":"Holland","given":"James Brendan","non-dropping-particle":"","parse-names":false,"suffix":""},{"dropping-particle":"","family":"Bradbury","given":"Peter J.","non-dropping-particle":"","parse-names":false,"suffix":""},{"dropping-particle":"","family":"Buckler","given":"Edward S.","non-dropping-particle":"","parse-names":false,"suffix":""}],"container-title":"Genetics","id":"ITEM-2","issue":"4","issued":{"date-parts":[["2014"]]},"page":"1337-1356","title":"The genetic architecture of maize height","type":"article-journal","volume":"196"},"uris":["http://www.mendeley.com/documents/?uuid=232dcb85-df7b-4684-84e4-5a36cc200498"]}],"mendeley":{"formattedCitation":"(Romay &lt;i&gt;et al.&lt;/i&gt; 2013; Peiffer &lt;i&gt;et al.&lt;/i&gt; 2014)","plainTextFormattedCitation":"(Romay et al. 2013; Peiffer et al. 2014)","previouslyFormattedCitation":"(Romay &lt;i&gt;et al.&lt;/i&gt; 2013; Peiffer &lt;i&gt;et al.&lt;/i&gt; 2014)"},"properties":{"noteIndex":0},"schema":"https://github.com/citation-style-language/schema/raw/master/csl-citation.json"}</w:instrText>
      </w:r>
      <w:r w:rsidRPr="008F569D">
        <w:rPr>
          <w:color w:val="000000" w:themeColor="text1"/>
          <w:sz w:val="24"/>
          <w:szCs w:val="24"/>
        </w:rPr>
        <w:fldChar w:fldCharType="separate"/>
      </w:r>
      <w:r w:rsidR="000767E7" w:rsidRPr="000767E7">
        <w:rPr>
          <w:noProof/>
          <w:color w:val="000000" w:themeColor="text1"/>
          <w:sz w:val="24"/>
          <w:szCs w:val="24"/>
        </w:rPr>
        <w:t xml:space="preserve">(Romay </w:t>
      </w:r>
      <w:r w:rsidR="000767E7" w:rsidRPr="000767E7">
        <w:rPr>
          <w:i/>
          <w:noProof/>
          <w:color w:val="000000" w:themeColor="text1"/>
          <w:sz w:val="24"/>
          <w:szCs w:val="24"/>
        </w:rPr>
        <w:t>et al.</w:t>
      </w:r>
      <w:r w:rsidR="000767E7" w:rsidRPr="000767E7">
        <w:rPr>
          <w:noProof/>
          <w:color w:val="000000" w:themeColor="text1"/>
          <w:sz w:val="24"/>
          <w:szCs w:val="24"/>
        </w:rPr>
        <w:t xml:space="preserve"> 2013; Peiffer </w:t>
      </w:r>
      <w:r w:rsidR="000767E7" w:rsidRPr="000767E7">
        <w:rPr>
          <w:i/>
          <w:noProof/>
          <w:color w:val="000000" w:themeColor="text1"/>
          <w:sz w:val="24"/>
          <w:szCs w:val="24"/>
        </w:rPr>
        <w:t>et al.</w:t>
      </w:r>
      <w:r w:rsidR="000767E7" w:rsidRPr="000767E7">
        <w:rPr>
          <w:noProof/>
          <w:color w:val="000000" w:themeColor="text1"/>
          <w:sz w:val="24"/>
          <w:szCs w:val="24"/>
        </w:rPr>
        <w:t xml:space="preserve"> 2014)</w:t>
      </w:r>
      <w:r w:rsidRPr="008F569D">
        <w:rPr>
          <w:color w:val="000000" w:themeColor="text1"/>
          <w:sz w:val="24"/>
          <w:szCs w:val="24"/>
        </w:rPr>
        <w:fldChar w:fldCharType="end"/>
      </w:r>
      <w:r w:rsidRPr="008F569D">
        <w:rPr>
          <w:color w:val="000000" w:themeColor="text1"/>
          <w:sz w:val="24"/>
          <w:szCs w:val="24"/>
        </w:rPr>
        <w:t>.  After imputation, 1.54%</w:t>
      </w:r>
      <w:r w:rsidRPr="008F569D">
        <w:rPr>
          <w:color w:val="FF0000"/>
          <w:sz w:val="24"/>
          <w:szCs w:val="24"/>
        </w:rPr>
        <w:t xml:space="preserve"> </w:t>
      </w:r>
      <w:r w:rsidRPr="008F569D">
        <w:rPr>
          <w:color w:val="000000" w:themeColor="text1"/>
          <w:sz w:val="24"/>
          <w:szCs w:val="24"/>
        </w:rPr>
        <w:t xml:space="preserve">marker scores remained missing and were filled in as the major allele homozygote. </w:t>
      </w:r>
    </w:p>
    <w:p w14:paraId="41EDA1AB" w14:textId="77777777" w:rsidR="00A15725" w:rsidRPr="008F569D" w:rsidRDefault="00A15725" w:rsidP="00A15725">
      <w:pPr>
        <w:spacing w:line="480" w:lineRule="auto"/>
        <w:ind w:firstLine="720"/>
        <w:jc w:val="both"/>
        <w:rPr>
          <w:color w:val="000000" w:themeColor="text1"/>
          <w:sz w:val="24"/>
          <w:szCs w:val="24"/>
        </w:rPr>
      </w:pPr>
      <w:r w:rsidRPr="008F569D">
        <w:rPr>
          <w:color w:val="000000" w:themeColor="text1"/>
          <w:sz w:val="24"/>
          <w:szCs w:val="24"/>
        </w:rPr>
        <w:t xml:space="preserve">Using this complete data matrix, we performed principal component analysis (PCA) to check if duplicate samples properly clustered together post-imputation, and if similarity of PCA scores matched known pedigree relationships.  Data passed this check and subsequently markers were thinned by position, resulting in 25,709 markers with a minimum distance of 100 bp between markers.  Next, duplicate lines were removed, keeping only the observation with the </w:t>
      </w:r>
      <w:r w:rsidRPr="008F569D">
        <w:rPr>
          <w:color w:val="000000" w:themeColor="text1"/>
          <w:sz w:val="24"/>
          <w:szCs w:val="24"/>
        </w:rPr>
        <w:lastRenderedPageBreak/>
        <w:t xml:space="preserve">highest coverage from each set of duplicates, leaving 1,186 unique parental lines.  From here, monomorphic markers were removed, leaving 22,214 markers.  Discrepancies in line names between genotype and phenotype data were harmonized to create a consensus list of names to be used for both datasets.  PCA was performed again on the filtered parental dataset as a check to ensure data integrity and matched expectations for population structure.  </w:t>
      </w:r>
    </w:p>
    <w:p w14:paraId="545FFEFA" w14:textId="4F057F30" w:rsidR="00A15725" w:rsidRDefault="00A15725" w:rsidP="00A15725">
      <w:pPr>
        <w:spacing w:line="480" w:lineRule="auto"/>
        <w:ind w:left="90" w:firstLine="630"/>
        <w:jc w:val="both"/>
        <w:rPr>
          <w:rFonts w:eastAsiaTheme="minorEastAsia"/>
          <w:sz w:val="24"/>
          <w:szCs w:val="24"/>
        </w:rPr>
      </w:pPr>
      <w:r w:rsidRPr="008F569D">
        <w:rPr>
          <w:color w:val="000000" w:themeColor="text1"/>
          <w:sz w:val="24"/>
          <w:szCs w:val="24"/>
        </w:rPr>
        <w:t xml:space="preserve">The cleaned inbred genotype data were used to generate hybrid genotypes using TASSEL </w:t>
      </w:r>
      <w:r w:rsidRPr="008F569D">
        <w:rPr>
          <w:color w:val="000000" w:themeColor="text1"/>
          <w:sz w:val="24"/>
          <w:szCs w:val="24"/>
        </w:rPr>
        <w:fldChar w:fldCharType="begin" w:fldLock="1"/>
      </w:r>
      <w:r w:rsidR="000767E7">
        <w:rPr>
          <w:color w:val="000000" w:themeColor="text1"/>
          <w:sz w:val="24"/>
          <w:szCs w:val="24"/>
        </w:rPr>
        <w:instrText>ADDIN CSL_CITATION {"citationItems":[{"id":"ITEM-1","itemData":{"DOI":"10.1093/bioinformatics/btm308","ISBN":"13674803 (ISSN)","ISSN":"13674803","PMID":"17586829","abstract":"Association analyses that exploit the natural diversity of a genome to map at very high resolutions are becoming increasingly important. In most studies, however, researchers must contend with the confounding effects of both population and family structure. TASSEL (Trait Analysis by aSSociation, Evolution and Linkage) implements general linear model and mixed linear model approaches for controlling population and family structure. For result interpretation, the program allows for linkage disequilibrium statistics to be calculated and visualized graphically. Database browsing and data importation is facilitated by integrated middleware. Other features include analyzing insertions/deletions, calculating diversity statistics, integration of phenotypic and genotypic data, imputing missing data and calculating principal components.","author":[{"dropping-particle":"","family":"Bradbury","given":"Peter J.","non-dropping-particle":"","parse-names":false,"suffix":""},{"dropping-particle":"","family":"Zhang","given":"Zhiwu","non-dropping-particle":"","parse-names":false,"suffix":""},{"dropping-particle":"","family":"Kroon","given":"Dallas E.","non-dropping-particle":"","parse-names":false,"suffix":""},{"dropping-particle":"","family":"Casstevens","given":"Terry M.","non-dropping-particle":"","parse-names":false,"suffix":""},{"dropping-particle":"","family":"Ramdoss","given":"Yogesh","non-dropping-particle":"","parse-names":false,"suffix":""},{"dropping-particle":"","family":"Buckler","given":"Edward S.","non-dropping-particle":"","parse-names":false,"suffix":""}],"container-title":"Bioinformatics","id":"ITEM-1","issue":"19","issued":{"date-parts":[["2007"]]},"page":"2633-2635","title":"TASSEL: Software for association mapping of complex traits in diverse samples","type":"article-journal","volume":"23"},"uris":["http://www.mendeley.com/documents/?uuid=85ea2150-3f22-47cf-936c-292cd3a7d939"]}],"mendeley":{"formattedCitation":"(Bradbury &lt;i&gt;et al.&lt;/i&gt; 2007)","plainTextFormattedCitation":"(Bradbury et al. 2007)","previouslyFormattedCitation":"(Bradbury &lt;i&gt;et al.&lt;/i&gt; 2007)"},"properties":{"noteIndex":0},"schema":"https://github.com/citation-style-language/schema/raw/master/csl-citation.json"}</w:instrText>
      </w:r>
      <w:r w:rsidRPr="008F569D">
        <w:rPr>
          <w:color w:val="000000" w:themeColor="text1"/>
          <w:sz w:val="24"/>
          <w:szCs w:val="24"/>
        </w:rPr>
        <w:fldChar w:fldCharType="separate"/>
      </w:r>
      <w:r w:rsidR="000767E7" w:rsidRPr="000767E7">
        <w:rPr>
          <w:noProof/>
          <w:color w:val="000000" w:themeColor="text1"/>
          <w:sz w:val="24"/>
          <w:szCs w:val="24"/>
        </w:rPr>
        <w:t xml:space="preserve">(Bradbury </w:t>
      </w:r>
      <w:r w:rsidR="000767E7" w:rsidRPr="000767E7">
        <w:rPr>
          <w:i/>
          <w:noProof/>
          <w:color w:val="000000" w:themeColor="text1"/>
          <w:sz w:val="24"/>
          <w:szCs w:val="24"/>
        </w:rPr>
        <w:t>et al.</w:t>
      </w:r>
      <w:r w:rsidR="000767E7" w:rsidRPr="000767E7">
        <w:rPr>
          <w:noProof/>
          <w:color w:val="000000" w:themeColor="text1"/>
          <w:sz w:val="24"/>
          <w:szCs w:val="24"/>
        </w:rPr>
        <w:t xml:space="preserve"> 2007)</w:t>
      </w:r>
      <w:r w:rsidRPr="008F569D">
        <w:rPr>
          <w:color w:val="000000" w:themeColor="text1"/>
          <w:sz w:val="24"/>
          <w:szCs w:val="24"/>
        </w:rPr>
        <w:fldChar w:fldCharType="end"/>
      </w:r>
      <w:r w:rsidRPr="008F569D">
        <w:rPr>
          <w:color w:val="000000" w:themeColor="text1"/>
          <w:sz w:val="24"/>
          <w:szCs w:val="24"/>
        </w:rPr>
        <w:t xml:space="preserve">. To generate hybrid genotypes, inbred parent heterozygous calls (&lt; 0.08% of the data) were first set to homozygous calls of one of the two alleles at the marker at random, with equal probability using a custom R script.  </w:t>
      </w:r>
      <w:r w:rsidRPr="008F569D">
        <w:rPr>
          <w:sz w:val="24"/>
          <w:szCs w:val="24"/>
        </w:rPr>
        <w:t>Then TASSEL’s Create Hybrid Genotypes function was used to generate genotype scores for hybrids present in the 2014-2016 data.  Of the 2</w:t>
      </w:r>
      <w:r w:rsidR="000767E7">
        <w:rPr>
          <w:sz w:val="24"/>
          <w:szCs w:val="24"/>
        </w:rPr>
        <w:t>,</w:t>
      </w:r>
      <w:r w:rsidRPr="008F569D">
        <w:rPr>
          <w:sz w:val="24"/>
          <w:szCs w:val="24"/>
        </w:rPr>
        <w:t xml:space="preserve">196 hybrids included in the phenotypic data, genotypes were produced for 1,918 (96%) hybrids, the remaining hybrids had at least one parent that was not genotyped or was removed from the genotype data set during filtering.  Reciprocal crosses were merged into a single common hybrid entry. Genotypes were </w:t>
      </w:r>
      <w:proofErr w:type="spellStart"/>
      <w:r w:rsidRPr="008F569D">
        <w:rPr>
          <w:sz w:val="24"/>
          <w:szCs w:val="24"/>
        </w:rPr>
        <w:t>numericalized</w:t>
      </w:r>
      <w:proofErr w:type="spellEnd"/>
      <w:r w:rsidRPr="008F569D">
        <w:rPr>
          <w:sz w:val="24"/>
          <w:szCs w:val="24"/>
        </w:rPr>
        <w:t xml:space="preserve"> to counts of the minor allele with respect to the full panel of hybrids for all subsequent analyses. Finally, any missing genotype scores (2.13%) were imputed to 0, homozygous for the major allele.  </w:t>
      </w:r>
      <w:r w:rsidRPr="008F569D">
        <w:rPr>
          <w:rFonts w:cstheme="minorHAnsi"/>
          <w:sz w:val="24"/>
          <w:szCs w:val="24"/>
        </w:rPr>
        <w:t>Realized additive (</w:t>
      </w:r>
      <w:r w:rsidRPr="008F569D">
        <w:rPr>
          <w:rFonts w:cstheme="minorHAnsi"/>
          <w:b/>
          <w:sz w:val="24"/>
          <w:szCs w:val="24"/>
        </w:rPr>
        <w:t>A</w:t>
      </w:r>
      <w:r w:rsidRPr="008F569D">
        <w:rPr>
          <w:rFonts w:cstheme="minorHAnsi"/>
          <w:sz w:val="24"/>
          <w:szCs w:val="24"/>
        </w:rPr>
        <w:t>) and dominance genomic relationship (</w:t>
      </w:r>
      <w:r w:rsidRPr="008F569D">
        <w:rPr>
          <w:rFonts w:cstheme="minorHAnsi"/>
          <w:b/>
          <w:sz w:val="24"/>
          <w:szCs w:val="24"/>
        </w:rPr>
        <w:t>D</w:t>
      </w:r>
      <w:r w:rsidRPr="008F569D">
        <w:rPr>
          <w:rFonts w:cstheme="minorHAnsi"/>
          <w:sz w:val="24"/>
          <w:szCs w:val="24"/>
        </w:rPr>
        <w:t xml:space="preserve">) matrices were estimated using the hybrid marker data in TASSEL </w:t>
      </w:r>
      <w:r w:rsidRPr="008F569D">
        <w:rPr>
          <w:rFonts w:cstheme="minorHAnsi"/>
          <w:sz w:val="24"/>
          <w:szCs w:val="24"/>
        </w:rPr>
        <w:fldChar w:fldCharType="begin" w:fldLock="1"/>
      </w:r>
      <w:r w:rsidR="000767E7">
        <w:rPr>
          <w:rFonts w:cstheme="minorHAnsi"/>
          <w:sz w:val="24"/>
          <w:szCs w:val="24"/>
        </w:rPr>
        <w:instrText>ADDIN CSL_CITATION {"citationItems":[{"id":"ITEM-1","itemData":{"DOI":"10.1093/bioinformatics/btm308","ISBN":"13674803 (ISSN)","ISSN":"13674803","PMID":"17586829","abstract":"Association analyses that exploit the natural diversity of a genome to map at very high resolutions are becoming increasingly important. In most studies, however, researchers must contend with the confounding effects of both population and family structure. TASSEL (Trait Analysis by aSSociation, Evolution and Linkage) implements general linear model and mixed linear model approaches for controlling population and family structure. For result interpretation, the program allows for linkage disequilibrium statistics to be calculated and visualized graphically. Database browsing and data importation is facilitated by integrated middleware. Other features include analyzing insertions/deletions, calculating diversity statistics, integration of phenotypic and genotypic data, imputing missing data and calculating principal components.","author":[{"dropping-particle":"","family":"Bradbury","given":"Peter J.","non-dropping-particle":"","parse-names":false,"suffix":""},{"dropping-particle":"","family":"Zhang","given":"Zhiwu","non-dropping-particle":"","parse-names":false,"suffix":""},{"dropping-particle":"","family":"Kroon","given":"Dallas E.","non-dropping-particle":"","parse-names":false,"suffix":""},{"dropping-particle":"","family":"Casstevens","given":"Terry M.","non-dropping-particle":"","parse-names":false,"suffix":""},{"dropping-particle":"","family":"Ramdoss","given":"Yogesh","non-dropping-particle":"","parse-names":false,"suffix":""},{"dropping-particle":"","family":"Buckler","given":"Edward S.","non-dropping-particle":"","parse-names":false,"suffix":""}],"container-title":"Bioinformatics","id":"ITEM-1","issue":"19","issued":{"date-parts":[["2007"]]},"page":"2633-2635","title":"TASSEL: Software for association mapping of complex traits in diverse samples","type":"article-journal","volume":"23"},"uris":["http://www.mendeley.com/documents/?uuid=85ea2150-3f22-47cf-936c-292cd3a7d939"]}],"mendeley":{"formattedCitation":"(Bradbury &lt;i&gt;et al.&lt;/i&gt; 2007)","plainTextFormattedCitation":"(Bradbury et al. 2007)","previouslyFormattedCitation":"(Bradbury &lt;i&gt;et al.&lt;/i&gt; 2007)"},"properties":{"noteIndex":0},"schema":"https://github.com/citation-style-language/schema/raw/master/csl-citation.json"}</w:instrText>
      </w:r>
      <w:r w:rsidRPr="008F569D">
        <w:rPr>
          <w:rFonts w:cstheme="minorHAnsi"/>
          <w:sz w:val="24"/>
          <w:szCs w:val="24"/>
        </w:rPr>
        <w:fldChar w:fldCharType="separate"/>
      </w:r>
      <w:r w:rsidR="000767E7" w:rsidRPr="000767E7">
        <w:rPr>
          <w:rFonts w:cstheme="minorHAnsi"/>
          <w:noProof/>
          <w:sz w:val="24"/>
          <w:szCs w:val="24"/>
        </w:rPr>
        <w:t xml:space="preserve">(Bradbury </w:t>
      </w:r>
      <w:r w:rsidR="000767E7" w:rsidRPr="000767E7">
        <w:rPr>
          <w:rFonts w:cstheme="minorHAnsi"/>
          <w:i/>
          <w:noProof/>
          <w:sz w:val="24"/>
          <w:szCs w:val="24"/>
        </w:rPr>
        <w:t>et al.</w:t>
      </w:r>
      <w:r w:rsidR="000767E7" w:rsidRPr="000767E7">
        <w:rPr>
          <w:rFonts w:cstheme="minorHAnsi"/>
          <w:noProof/>
          <w:sz w:val="24"/>
          <w:szCs w:val="24"/>
        </w:rPr>
        <w:t xml:space="preserve"> 2007)</w:t>
      </w:r>
      <w:r w:rsidRPr="008F569D">
        <w:rPr>
          <w:rFonts w:cstheme="minorHAnsi"/>
          <w:sz w:val="24"/>
          <w:szCs w:val="24"/>
        </w:rPr>
        <w:fldChar w:fldCharType="end"/>
      </w:r>
      <w:r w:rsidRPr="008F569D">
        <w:rPr>
          <w:rFonts w:cstheme="minorHAnsi"/>
          <w:sz w:val="24"/>
          <w:szCs w:val="24"/>
        </w:rPr>
        <w:t xml:space="preserve"> using centered IBS </w:t>
      </w:r>
      <w:r w:rsidRPr="008F569D">
        <w:rPr>
          <w:rFonts w:cstheme="minorHAnsi"/>
          <w:sz w:val="24"/>
          <w:szCs w:val="24"/>
        </w:rPr>
        <w:fldChar w:fldCharType="begin" w:fldLock="1"/>
      </w:r>
      <w:r w:rsidR="000767E7">
        <w:rPr>
          <w:rFonts w:cstheme="minorHAnsi"/>
          <w:sz w:val="24"/>
          <w:szCs w:val="24"/>
        </w:rPr>
        <w:instrText>ADDIN CSL_CITATION {"citationItems":[{"id":"ITEM-1","itemData":{"DOI":"10.1534/g3.112.004259","author":[{"dropping-particle":"","family":"Endelman","given":"Jeffrey B","non-dropping-particle":"","parse-names":false,"suffix":""},{"dropping-particle":"","family":"Jannink","given":"Jean-luc","non-dropping-particle":"","parse-names":false,"suffix":""}],"container-title":"G3: Genes, Genomes, Genetics","id":"ITEM-1","issue":"November","issued":{"date-parts":[["2012"]]},"page":"1405-1413","title":"Shrinkage Estimation of the Realized Relationship Matrix","type":"article-journal","volume":"2"},"uris":["http://www.mendeley.com/documents/?uuid=a364d5eb-51b3-446f-a128-364b67f72596"]}],"mendeley":{"formattedCitation":"(Endelman and Jannink 2012)","plainTextFormattedCitation":"(Endelman and Jannink 2012)","previouslyFormattedCitation":"(Endelman and Jannink 2012)"},"properties":{"noteIndex":0},"schema":"https://github.com/citation-style-language/schema/raw/master/csl-citation.json"}</w:instrText>
      </w:r>
      <w:r w:rsidRPr="008F569D">
        <w:rPr>
          <w:rFonts w:cstheme="minorHAnsi"/>
          <w:sz w:val="24"/>
          <w:szCs w:val="24"/>
        </w:rPr>
        <w:fldChar w:fldCharType="separate"/>
      </w:r>
      <w:r w:rsidR="000767E7" w:rsidRPr="000767E7">
        <w:rPr>
          <w:rFonts w:cstheme="minorHAnsi"/>
          <w:noProof/>
          <w:sz w:val="24"/>
          <w:szCs w:val="24"/>
        </w:rPr>
        <w:t>(Endelman and Jannink 2012)</w:t>
      </w:r>
      <w:r w:rsidRPr="008F569D">
        <w:rPr>
          <w:rFonts w:cstheme="minorHAnsi"/>
          <w:sz w:val="24"/>
          <w:szCs w:val="24"/>
        </w:rPr>
        <w:fldChar w:fldCharType="end"/>
      </w:r>
      <w:r w:rsidRPr="008F569D">
        <w:rPr>
          <w:rFonts w:cstheme="minorHAnsi"/>
          <w:sz w:val="24"/>
          <w:szCs w:val="24"/>
        </w:rPr>
        <w:t xml:space="preserve"> and dominance centered IBS methods </w:t>
      </w:r>
      <w:r w:rsidRPr="008F569D">
        <w:rPr>
          <w:rFonts w:cstheme="minorHAnsi"/>
          <w:sz w:val="24"/>
          <w:szCs w:val="24"/>
        </w:rPr>
        <w:fldChar w:fldCharType="begin" w:fldLock="1"/>
      </w:r>
      <w:r w:rsidR="000767E7">
        <w:rPr>
          <w:rFonts w:cstheme="minorHAnsi"/>
          <w:sz w:val="24"/>
          <w:szCs w:val="24"/>
        </w:rPr>
        <w:instrText>ADDIN CSL_CITATION {"citationItems":[{"id":"ITEM-1","itemData":{"DOI":"10.1534/genetics.114.171322","author":[{"dropping-particle":"","family":"Muñoz","given":"Patricio R","non-dropping-particle":"","parse-names":false,"suffix":""},{"dropping-particle":"","family":"Resende","given":"Marcio F R","non-dropping-particle":"","parse-names":false,"suffix":""},{"dropping-particle":"","family":"Gezan","given":"Salvador A","non-dropping-particle":"","parse-names":false,"suffix":""},{"dropping-particle":"","family":"Deon Vielela Resende","given":"Marcos","non-dropping-particle":"","parse-names":false,"suffix":""},{"dropping-particle":"","family":"los Campos","given":"Gustavo","non-dropping-particle":"de","parse-names":false,"suffix":""},{"dropping-particle":"","family":"Kirst","given":"Matias","non-dropping-particle":"","parse-names":false,"suffix":""},{"dropping-particle":"","family":"Huber","given":"Dudley","non-dropping-particle":"","parse-names":false,"suffix":""},{"dropping-particle":"","family":"Peter","given":"Gary F.","non-dropping-particle":"","parse-names":false,"suffix":""}],"container-title":"Genetics","id":"ITEM-1","issue":"December","issued":{"date-parts":[["2014"]]},"page":"1759-1768","title":"Unraveling Additive from Nonadditive Effects Using Genomic Relationship Matrices","type":"article-journal","volume":"198"},"uris":["http://www.mendeley.com/documents/?uuid=5a8d5a95-1cf6-453c-a95a-290f7016345b"]}],"mendeley":{"formattedCitation":"(Muñoz &lt;i&gt;et al.&lt;/i&gt; 2014)","plainTextFormattedCitation":"(Muñoz et al. 2014)","previouslyFormattedCitation":"(Muñoz &lt;i&gt;et al.&lt;/i&gt; 2014)"},"properties":{"noteIndex":0},"schema":"https://github.com/citation-style-language/schema/raw/master/csl-citation.json"}</w:instrText>
      </w:r>
      <w:r w:rsidRPr="008F569D">
        <w:rPr>
          <w:rFonts w:cstheme="minorHAnsi"/>
          <w:sz w:val="24"/>
          <w:szCs w:val="24"/>
        </w:rPr>
        <w:fldChar w:fldCharType="separate"/>
      </w:r>
      <w:r w:rsidR="000767E7" w:rsidRPr="000767E7">
        <w:rPr>
          <w:rFonts w:cstheme="minorHAnsi"/>
          <w:noProof/>
          <w:sz w:val="24"/>
          <w:szCs w:val="24"/>
        </w:rPr>
        <w:t xml:space="preserve">(Muñoz </w:t>
      </w:r>
      <w:r w:rsidR="000767E7" w:rsidRPr="000767E7">
        <w:rPr>
          <w:rFonts w:cstheme="minorHAnsi"/>
          <w:i/>
          <w:noProof/>
          <w:sz w:val="24"/>
          <w:szCs w:val="24"/>
        </w:rPr>
        <w:t>et al.</w:t>
      </w:r>
      <w:r w:rsidR="000767E7" w:rsidRPr="000767E7">
        <w:rPr>
          <w:rFonts w:cstheme="minorHAnsi"/>
          <w:noProof/>
          <w:sz w:val="24"/>
          <w:szCs w:val="24"/>
        </w:rPr>
        <w:t xml:space="preserve"> 2014)</w:t>
      </w:r>
      <w:r w:rsidRPr="008F569D">
        <w:rPr>
          <w:rFonts w:cstheme="minorHAnsi"/>
          <w:sz w:val="24"/>
          <w:szCs w:val="24"/>
        </w:rPr>
        <w:fldChar w:fldCharType="end"/>
      </w:r>
      <w:r w:rsidRPr="008F569D">
        <w:rPr>
          <w:rFonts w:cstheme="minorHAnsi"/>
          <w:sz w:val="24"/>
          <w:szCs w:val="24"/>
        </w:rPr>
        <w:t>, respectively</w:t>
      </w:r>
      <w:r>
        <w:rPr>
          <w:rFonts w:cstheme="minorHAnsi"/>
          <w:sz w:val="24"/>
          <w:szCs w:val="24"/>
        </w:rPr>
        <w:t xml:space="preserve"> (</w:t>
      </w:r>
      <w:r w:rsidRPr="0087187A">
        <w:rPr>
          <w:rFonts w:cstheme="minorHAnsi"/>
          <w:color w:val="000000" w:themeColor="text1"/>
          <w:sz w:val="24"/>
          <w:szCs w:val="24"/>
        </w:rPr>
        <w:t>Files S1</w:t>
      </w:r>
      <w:r w:rsidR="002E7337">
        <w:rPr>
          <w:rFonts w:cstheme="minorHAnsi"/>
          <w:color w:val="000000" w:themeColor="text1"/>
          <w:sz w:val="24"/>
          <w:szCs w:val="24"/>
        </w:rPr>
        <w:t>3</w:t>
      </w:r>
      <w:r w:rsidRPr="0087187A">
        <w:rPr>
          <w:rFonts w:cstheme="minorHAnsi"/>
          <w:color w:val="000000" w:themeColor="text1"/>
          <w:sz w:val="24"/>
          <w:szCs w:val="24"/>
        </w:rPr>
        <w:t xml:space="preserve">, </w:t>
      </w:r>
      <w:r w:rsidR="002E7337" w:rsidRPr="0087187A">
        <w:rPr>
          <w:rFonts w:cstheme="minorHAnsi"/>
          <w:color w:val="000000" w:themeColor="text1"/>
          <w:sz w:val="24"/>
          <w:szCs w:val="24"/>
        </w:rPr>
        <w:t>S</w:t>
      </w:r>
      <w:r w:rsidR="002E7337">
        <w:rPr>
          <w:rFonts w:cstheme="minorHAnsi"/>
          <w:color w:val="000000" w:themeColor="text1"/>
          <w:sz w:val="24"/>
          <w:szCs w:val="24"/>
        </w:rPr>
        <w:t>14</w:t>
      </w:r>
      <w:r w:rsidRPr="0087187A">
        <w:rPr>
          <w:rFonts w:cstheme="minorHAnsi"/>
          <w:color w:val="000000" w:themeColor="text1"/>
          <w:sz w:val="24"/>
          <w:szCs w:val="24"/>
        </w:rPr>
        <w:t xml:space="preserve">, and </w:t>
      </w:r>
      <w:r w:rsidR="002E7337" w:rsidRPr="0087187A">
        <w:rPr>
          <w:rFonts w:cstheme="minorHAnsi"/>
          <w:color w:val="000000" w:themeColor="text1"/>
          <w:sz w:val="24"/>
          <w:szCs w:val="24"/>
        </w:rPr>
        <w:t>S</w:t>
      </w:r>
      <w:r w:rsidR="002E7337">
        <w:rPr>
          <w:rFonts w:cstheme="minorHAnsi"/>
          <w:color w:val="000000" w:themeColor="text1"/>
          <w:sz w:val="24"/>
          <w:szCs w:val="24"/>
        </w:rPr>
        <w:t>15</w:t>
      </w:r>
      <w:r>
        <w:rPr>
          <w:rFonts w:cstheme="minorHAnsi"/>
          <w:sz w:val="24"/>
          <w:szCs w:val="24"/>
        </w:rPr>
        <w:t>)</w:t>
      </w:r>
      <w:r w:rsidRPr="008F569D">
        <w:rPr>
          <w:rFonts w:cstheme="minorHAnsi"/>
          <w:sz w:val="24"/>
          <w:szCs w:val="24"/>
        </w:rPr>
        <w:t>.</w:t>
      </w:r>
      <w:r w:rsidRPr="008F569D">
        <w:rPr>
          <w:sz w:val="24"/>
          <w:szCs w:val="24"/>
        </w:rPr>
        <w:t xml:space="preserve">   To identify genetic groups within the hybrids, cluster analysis was performed on the hybrid genotype data using Ward’s Method for agglomerative clustering </w:t>
      </w:r>
      <w:r w:rsidRPr="008F569D">
        <w:rPr>
          <w:sz w:val="24"/>
          <w:szCs w:val="24"/>
        </w:rPr>
        <w:fldChar w:fldCharType="begin" w:fldLock="1"/>
      </w:r>
      <w:r w:rsidR="000767E7">
        <w:rPr>
          <w:sz w:val="24"/>
          <w:szCs w:val="24"/>
        </w:rPr>
        <w:instrText>ADDIN CSL_CITATION {"citationItems":[{"id":"ITEM-1","itemData":{"author":[{"dropping-particle":"","family":"Ward","given":"Joe H. Jr .","non-dropping-particle":"","parse-names":false,"suffix":""}],"container-title":"Journal of the American Statistical Association","id":"ITEM-1","issue":"301","issued":{"date-parts":[["1963"]]},"page":"236-244","title":"Hierarchical Grouping to Optimize an Objective Function","type":"article-journal","volume":"58"},"uris":["http://www.mendeley.com/documents/?uuid=0d19e1fd-732f-4704-a8ae-a6732ed7c3e8"]}],"mendeley":{"formattedCitation":"(Ward 1963)","plainTextFormattedCitation":"(Ward 1963)","previouslyFormattedCitation":"(Ward 1963)"},"properties":{"noteIndex":0},"schema":"https://github.com/citation-style-language/schema/raw/master/csl-citation.json"}</w:instrText>
      </w:r>
      <w:r w:rsidRPr="008F569D">
        <w:rPr>
          <w:sz w:val="24"/>
          <w:szCs w:val="24"/>
        </w:rPr>
        <w:fldChar w:fldCharType="separate"/>
      </w:r>
      <w:r w:rsidR="000767E7" w:rsidRPr="000767E7">
        <w:rPr>
          <w:noProof/>
          <w:sz w:val="24"/>
          <w:szCs w:val="24"/>
        </w:rPr>
        <w:t>(Ward 1963)</w:t>
      </w:r>
      <w:r w:rsidRPr="008F569D">
        <w:rPr>
          <w:sz w:val="24"/>
          <w:szCs w:val="24"/>
        </w:rPr>
        <w:fldChar w:fldCharType="end"/>
      </w:r>
      <w:r w:rsidRPr="008F569D">
        <w:rPr>
          <w:sz w:val="24"/>
          <w:szCs w:val="24"/>
        </w:rPr>
        <w:t xml:space="preserve"> </w:t>
      </w:r>
      <w:r w:rsidRPr="008F569D">
        <w:rPr>
          <w:rFonts w:eastAsiaTheme="minorEastAsia"/>
          <w:sz w:val="24"/>
          <w:szCs w:val="24"/>
        </w:rPr>
        <w:t xml:space="preserve">with complete linkage metric.  To compare the genetic </w:t>
      </w:r>
      <w:r w:rsidRPr="008F569D">
        <w:rPr>
          <w:rFonts w:eastAsiaTheme="minorEastAsia"/>
          <w:sz w:val="24"/>
          <w:szCs w:val="24"/>
        </w:rPr>
        <w:lastRenderedPageBreak/>
        <w:t xml:space="preserve">relationships of hybrids and their inbred parents together, we combined the </w:t>
      </w:r>
      <w:r w:rsidR="000767E7" w:rsidRPr="008F569D">
        <w:rPr>
          <w:rFonts w:eastAsiaTheme="minorEastAsia"/>
          <w:sz w:val="24"/>
          <w:szCs w:val="24"/>
        </w:rPr>
        <w:t>genotyp</w:t>
      </w:r>
      <w:r w:rsidR="000767E7">
        <w:rPr>
          <w:rFonts w:eastAsiaTheme="minorEastAsia"/>
          <w:sz w:val="24"/>
          <w:szCs w:val="24"/>
        </w:rPr>
        <w:t>ic</w:t>
      </w:r>
      <w:r w:rsidR="000767E7" w:rsidRPr="008F569D">
        <w:rPr>
          <w:rFonts w:eastAsiaTheme="minorEastAsia"/>
          <w:sz w:val="24"/>
          <w:szCs w:val="24"/>
        </w:rPr>
        <w:t xml:space="preserve"> </w:t>
      </w:r>
      <w:r w:rsidRPr="008F569D">
        <w:rPr>
          <w:rFonts w:eastAsiaTheme="minorEastAsia"/>
          <w:sz w:val="24"/>
          <w:szCs w:val="24"/>
        </w:rPr>
        <w:t>data for two sets and performed principal components analysis.</w:t>
      </w:r>
    </w:p>
    <w:p w14:paraId="20ED3D31" w14:textId="77777777" w:rsidR="008321A3" w:rsidRPr="008F569D" w:rsidRDefault="008321A3" w:rsidP="00A15725">
      <w:pPr>
        <w:spacing w:line="480" w:lineRule="auto"/>
        <w:ind w:left="90" w:firstLine="630"/>
        <w:jc w:val="both"/>
        <w:rPr>
          <w:sz w:val="24"/>
          <w:szCs w:val="24"/>
        </w:rPr>
      </w:pPr>
    </w:p>
    <w:bookmarkEnd w:id="0"/>
    <w:p w14:paraId="01C59F35" w14:textId="77777777" w:rsidR="00A15725" w:rsidRPr="00F37731" w:rsidRDefault="00A15725" w:rsidP="00A15725">
      <w:pPr>
        <w:pStyle w:val="Heading2"/>
        <w:spacing w:line="480" w:lineRule="auto"/>
        <w:rPr>
          <w:color w:val="FF0000"/>
        </w:rPr>
      </w:pPr>
      <w:r>
        <w:t>Phenotype data</w:t>
      </w:r>
    </w:p>
    <w:p w14:paraId="15795453" w14:textId="3587D35F" w:rsidR="00A15725" w:rsidRPr="008F569D" w:rsidRDefault="00A15725" w:rsidP="00A15725">
      <w:pPr>
        <w:spacing w:line="480" w:lineRule="auto"/>
        <w:ind w:firstLine="720"/>
        <w:jc w:val="both"/>
        <w:rPr>
          <w:sz w:val="24"/>
          <w:szCs w:val="24"/>
        </w:rPr>
      </w:pPr>
      <w:r w:rsidRPr="008F569D">
        <w:rPr>
          <w:sz w:val="24"/>
          <w:szCs w:val="24"/>
        </w:rPr>
        <w:t>Hybrid phenotype data from each location were submitted to a common data curation team, who assembled complete data sets for all locations in each year.  Trait data included days from planting to anthesis (DTA) and silk emergence (DTS), height to topmost node (plant height) and to primary ear node (ear height), stand count, number of lodged plants, plot grain yield, grain moisture at harvest, and test weight</w:t>
      </w:r>
      <w:r w:rsidR="000767E7">
        <w:rPr>
          <w:sz w:val="24"/>
          <w:szCs w:val="24"/>
        </w:rPr>
        <w:t xml:space="preserve"> as described on in the G2F website </w:t>
      </w:r>
      <w:r w:rsidR="000767E7">
        <w:rPr>
          <w:sz w:val="24"/>
          <w:szCs w:val="24"/>
        </w:rPr>
        <w:fldChar w:fldCharType="begin" w:fldLock="1"/>
      </w:r>
      <w:r w:rsidR="000767E7">
        <w:rPr>
          <w:sz w:val="24"/>
          <w:szCs w:val="24"/>
        </w:rPr>
        <w:instrText>ADDIN CSL_CITATION {"citationItems":[{"id":"ITEM-1","itemData":{"URL":"http://www.genomes2fields.org/","abstract":"G2F is an umbrella initiative to support translation of maize genomic information for the benefit of growers, consumers and society. This public-private partnership is building on publicly funded corn genome sequencing projects to develop approaches to understand the functions of corn genes and specific alleles across environments. Ultimately this information will be used to enable to accurate prediction of the phenotypes of corn plants in diverse environments. There are many dimensions to the over-arching goal of understanding genotype-by-environment (GxE) interactions, including which genes impact which traits and trait components, how genes interact among themselves (GxG), the relevance of specific genes under different growing conditions, and how these genes influence plant growth during various stages of development. This Initiative will promote projects that advance integrated research and technologies, combining fields such as genetics, genomics, plant physiology, agronomy, climatology and crop modeling, with computation and informatics, statistics and engineering. Scientists from these non-agricultural fields are being invited to participate in G2F. The initial concept for Genomes to Fields was developed in 2013. Since then the Iowa Corn Promotion Board has invested resources to jump-start this Initiative. Financial support will be sought from public funding agencies. The seed industry is also being invited to participate in and benefit from the Initiative. In addition, other types of companies that could benefit from this Initiative are being invited to participate.","accessed":{"date-parts":[["2017","10","1"]]},"id":"ITEM-1","issued":{"date-parts":[["0"]]},"title":"The Genomes to Fields (G2F) Initiative","type":"webpage"},"uris":["http://www.mendeley.com/documents/?uuid=f4619e0d-04df-4d36-83ad-c5b51be3f55f"]}],"mendeley":{"formattedCitation":"(“The Genomes to Fields (G2F) Initiative”)","plainTextFormattedCitation":"(“The Genomes to Fields (G2F) Initiative”)","previouslyFormattedCitation":"(“The Genomes to Fields (G2F) Initiative”)"},"properties":{"noteIndex":0},"schema":"https://github.com/citation-style-language/schema/raw/master/csl-citation.json"}</w:instrText>
      </w:r>
      <w:r w:rsidR="000767E7">
        <w:rPr>
          <w:sz w:val="24"/>
          <w:szCs w:val="24"/>
        </w:rPr>
        <w:fldChar w:fldCharType="separate"/>
      </w:r>
      <w:r w:rsidR="000767E7" w:rsidRPr="000767E7">
        <w:rPr>
          <w:noProof/>
          <w:sz w:val="24"/>
          <w:szCs w:val="24"/>
        </w:rPr>
        <w:t>(“The Genomes to Fields (G2F) Initiative”)</w:t>
      </w:r>
      <w:r w:rsidR="000767E7">
        <w:rPr>
          <w:sz w:val="24"/>
          <w:szCs w:val="24"/>
        </w:rPr>
        <w:fldChar w:fldCharType="end"/>
      </w:r>
      <w:r w:rsidRPr="008F569D">
        <w:rPr>
          <w:sz w:val="24"/>
          <w:szCs w:val="24"/>
        </w:rPr>
        <w:t xml:space="preserve">. Environments varied for which traits were recorded; however, all environments have measurements for grain yield, stand counts, plant heights, and ear heights.  </w:t>
      </w:r>
    </w:p>
    <w:p w14:paraId="6AA4C41A" w14:textId="725F4DAF" w:rsidR="00A15725" w:rsidRPr="008F569D" w:rsidRDefault="00A15725" w:rsidP="00A15725">
      <w:pPr>
        <w:spacing w:line="480" w:lineRule="auto"/>
        <w:ind w:firstLine="720"/>
        <w:jc w:val="both"/>
        <w:rPr>
          <w:rFonts w:cstheme="minorHAnsi"/>
          <w:sz w:val="24"/>
          <w:szCs w:val="24"/>
        </w:rPr>
      </w:pPr>
      <w:r w:rsidRPr="008F569D">
        <w:rPr>
          <w:sz w:val="24"/>
          <w:szCs w:val="24"/>
        </w:rPr>
        <w:t xml:space="preserve">Prior to release of the compiled trait data sets, the curators of the G2F hybrid data performed the following filtering to remove individual trait values with low biological probability.  Days to anthesis or </w:t>
      </w:r>
      <w:proofErr w:type="spellStart"/>
      <w:r w:rsidRPr="008F569D">
        <w:rPr>
          <w:sz w:val="24"/>
          <w:szCs w:val="24"/>
        </w:rPr>
        <w:t>silking</w:t>
      </w:r>
      <w:proofErr w:type="spellEnd"/>
      <w:r w:rsidRPr="008F569D">
        <w:rPr>
          <w:sz w:val="24"/>
          <w:szCs w:val="24"/>
        </w:rPr>
        <w:t xml:space="preserve"> </w:t>
      </w:r>
      <w:r w:rsidR="000767E7">
        <w:rPr>
          <w:sz w:val="24"/>
          <w:szCs w:val="24"/>
        </w:rPr>
        <w:t>fewer than</w:t>
      </w:r>
      <w:r w:rsidR="000767E7" w:rsidRPr="008F569D">
        <w:rPr>
          <w:sz w:val="24"/>
          <w:szCs w:val="24"/>
        </w:rPr>
        <w:t xml:space="preserve"> </w:t>
      </w:r>
      <w:r w:rsidRPr="008F569D">
        <w:rPr>
          <w:sz w:val="24"/>
          <w:szCs w:val="24"/>
        </w:rPr>
        <w:t xml:space="preserve">20 or </w:t>
      </w:r>
      <w:r w:rsidR="000767E7">
        <w:rPr>
          <w:sz w:val="24"/>
          <w:szCs w:val="24"/>
        </w:rPr>
        <w:t>more than</w:t>
      </w:r>
      <w:r w:rsidR="000767E7" w:rsidRPr="008F569D">
        <w:rPr>
          <w:sz w:val="24"/>
          <w:szCs w:val="24"/>
        </w:rPr>
        <w:t xml:space="preserve"> </w:t>
      </w:r>
      <w:r w:rsidRPr="008F569D">
        <w:rPr>
          <w:sz w:val="24"/>
          <w:szCs w:val="24"/>
        </w:rPr>
        <w:t xml:space="preserve">100 days after planting were set to missing.  Ear height </w:t>
      </w:r>
      <w:r w:rsidR="000767E7">
        <w:rPr>
          <w:sz w:val="24"/>
          <w:szCs w:val="24"/>
        </w:rPr>
        <w:t>less than</w:t>
      </w:r>
      <w:r w:rsidR="000767E7" w:rsidRPr="008F569D">
        <w:rPr>
          <w:sz w:val="24"/>
          <w:szCs w:val="24"/>
        </w:rPr>
        <w:t xml:space="preserve"> </w:t>
      </w:r>
      <w:r w:rsidRPr="008F569D">
        <w:rPr>
          <w:sz w:val="24"/>
          <w:szCs w:val="24"/>
        </w:rPr>
        <w:t xml:space="preserve">20 cm were set to missing.  Yield, test weight, and grain moisture content were all set to missing if plot weight was </w:t>
      </w:r>
      <w:r w:rsidR="000767E7">
        <w:rPr>
          <w:sz w:val="24"/>
          <w:szCs w:val="24"/>
        </w:rPr>
        <w:t>less than</w:t>
      </w:r>
      <w:r w:rsidR="000767E7" w:rsidRPr="008F569D">
        <w:rPr>
          <w:sz w:val="24"/>
          <w:szCs w:val="24"/>
        </w:rPr>
        <w:t xml:space="preserve"> </w:t>
      </w:r>
      <w:r w:rsidRPr="008F569D">
        <w:rPr>
          <w:sz w:val="24"/>
          <w:szCs w:val="24"/>
        </w:rPr>
        <w:t xml:space="preserve">454 g.  The original dataset also contains the local check hybrids, which are selected by the primary investigator at that location, known to perform well in the region, but which were not genotyped, so we removed them from our data set.  Notes on a variety of data reliability issues were included with the trait data, including comments from investigators regarding damage to plots from machinery and animals, plots that suffered flooding, areas with low stand count, </w:t>
      </w:r>
      <w:proofErr w:type="spellStart"/>
      <w:r w:rsidRPr="008F569D">
        <w:rPr>
          <w:sz w:val="24"/>
          <w:szCs w:val="24"/>
        </w:rPr>
        <w:t>misplantings</w:t>
      </w:r>
      <w:proofErr w:type="spellEnd"/>
      <w:r w:rsidRPr="008F569D">
        <w:rPr>
          <w:sz w:val="24"/>
          <w:szCs w:val="24"/>
        </w:rPr>
        <w:t xml:space="preserve">, and hybrid substitutions.  Comments </w:t>
      </w:r>
      <w:r w:rsidRPr="008F569D">
        <w:rPr>
          <w:sz w:val="24"/>
          <w:szCs w:val="24"/>
        </w:rPr>
        <w:lastRenderedPageBreak/>
        <w:t xml:space="preserve">were examined to determine reliability of data, and unreliable data were discarded.  Information on blocks of the experimental designs was not included in the original compiled data files, we added blocking information based on known experimental design features. </w:t>
      </w:r>
      <w:r w:rsidRPr="008F569D">
        <w:rPr>
          <w:rFonts w:cstheme="minorHAnsi"/>
          <w:sz w:val="24"/>
          <w:szCs w:val="24"/>
        </w:rPr>
        <w:t xml:space="preserve">In 2014-2015 fields were arranged with incomplete block designs and replications. In 2016 incomplete blocks were not part of the field experimental design, so a constant block value of 1 was assigned to all 2016 plots. </w:t>
      </w:r>
    </w:p>
    <w:p w14:paraId="4E040305" w14:textId="7160AA15" w:rsidR="00A15725" w:rsidRDefault="00A15725" w:rsidP="00AB6559">
      <w:pPr>
        <w:spacing w:line="480" w:lineRule="auto"/>
        <w:ind w:firstLine="720"/>
        <w:jc w:val="both"/>
        <w:rPr>
          <w:rFonts w:cstheme="minorHAnsi"/>
          <w:sz w:val="24"/>
          <w:szCs w:val="24"/>
        </w:rPr>
      </w:pPr>
      <w:r w:rsidRPr="008F569D">
        <w:rPr>
          <w:rFonts w:cstheme="minorHAnsi"/>
          <w:sz w:val="24"/>
          <w:szCs w:val="24"/>
        </w:rPr>
        <w:t xml:space="preserve">We removed all data from plots with stand counts equivalent to planting densities of less than </w:t>
      </w:r>
      <w:r w:rsidRPr="008F569D">
        <w:rPr>
          <w:rStyle w:val="qv3wpe"/>
          <w:sz w:val="24"/>
          <w:szCs w:val="24"/>
        </w:rPr>
        <w:t>37,066</w:t>
      </w:r>
      <w:r w:rsidRPr="008F569D">
        <w:rPr>
          <w:rFonts w:cstheme="minorHAnsi"/>
          <w:sz w:val="24"/>
          <w:szCs w:val="24"/>
        </w:rPr>
        <w:t xml:space="preserve"> plants per </w:t>
      </w:r>
      <w:r w:rsidR="000767E7">
        <w:rPr>
          <w:rFonts w:cstheme="minorHAnsi"/>
          <w:sz w:val="24"/>
          <w:szCs w:val="24"/>
        </w:rPr>
        <w:t>ha</w:t>
      </w:r>
      <w:r w:rsidR="000767E7" w:rsidRPr="009D5FB4">
        <w:rPr>
          <w:rFonts w:cstheme="minorHAnsi"/>
          <w:sz w:val="24"/>
          <w:szCs w:val="24"/>
          <w:vertAlign w:val="superscript"/>
        </w:rPr>
        <w:t>-1</w:t>
      </w:r>
      <w:r w:rsidRPr="008F569D">
        <w:rPr>
          <w:rFonts w:cstheme="minorHAnsi"/>
          <w:sz w:val="24"/>
          <w:szCs w:val="24"/>
        </w:rPr>
        <w:t>.  Plot grain yields were converted to Mg ha</w:t>
      </w:r>
      <w:r w:rsidRPr="008F569D">
        <w:rPr>
          <w:rFonts w:cstheme="minorHAnsi"/>
          <w:sz w:val="24"/>
          <w:szCs w:val="24"/>
          <w:vertAlign w:val="superscript"/>
        </w:rPr>
        <w:t>-1</w:t>
      </w:r>
      <w:r w:rsidRPr="008F569D">
        <w:rPr>
          <w:rFonts w:cstheme="minorHAnsi"/>
          <w:sz w:val="24"/>
          <w:szCs w:val="24"/>
        </w:rPr>
        <w:t xml:space="preserve"> and yields greater than 18.83 Mg ha</w:t>
      </w:r>
      <w:r w:rsidRPr="008F569D">
        <w:rPr>
          <w:rFonts w:cstheme="minorHAnsi"/>
          <w:sz w:val="24"/>
          <w:szCs w:val="24"/>
          <w:vertAlign w:val="superscript"/>
        </w:rPr>
        <w:t>-1</w:t>
      </w:r>
      <w:r w:rsidRPr="008F569D">
        <w:rPr>
          <w:rFonts w:cstheme="minorHAnsi"/>
          <w:sz w:val="24"/>
          <w:szCs w:val="24"/>
        </w:rPr>
        <w:t xml:space="preserve"> were set to missing.  </w:t>
      </w:r>
      <w:r w:rsidRPr="008F569D">
        <w:rPr>
          <w:rFonts w:eastAsiaTheme="minorEastAsia" w:cstheme="minorHAnsi"/>
          <w:sz w:val="24"/>
          <w:szCs w:val="24"/>
        </w:rPr>
        <w:t xml:space="preserve">Days to </w:t>
      </w:r>
      <w:proofErr w:type="spellStart"/>
      <w:r w:rsidRPr="008F569D">
        <w:rPr>
          <w:rFonts w:eastAsiaTheme="minorEastAsia" w:cstheme="minorHAnsi"/>
          <w:sz w:val="24"/>
          <w:szCs w:val="24"/>
        </w:rPr>
        <w:t>silking</w:t>
      </w:r>
      <w:proofErr w:type="spellEnd"/>
      <w:r w:rsidRPr="008F569D">
        <w:rPr>
          <w:rFonts w:eastAsiaTheme="minorEastAsia" w:cstheme="minorHAnsi"/>
          <w:sz w:val="24"/>
          <w:szCs w:val="24"/>
        </w:rPr>
        <w:t xml:space="preserve"> less than 40 days after planting were set to missing</w:t>
      </w:r>
      <w:r w:rsidRPr="008F569D">
        <w:rPr>
          <w:rFonts w:cstheme="minorHAnsi"/>
          <w:sz w:val="24"/>
          <w:szCs w:val="24"/>
        </w:rPr>
        <w:t xml:space="preserve">. The ratio between ear and plant height was calculated and the plant and ear height values were set to missing wherever the ratio was below 0.25 or above 0.75.  All phenotypic data from plots in an intersection of 2.5 inter-quartile range (IQR) and more than 30% above or below the mean stand count within a location were removed from further analysis. Outlier filtering was also performed on yield data by censoring yields that were outliers by both 2.5 IQR and &gt; 30% different from the mean (Figure </w:t>
      </w:r>
      <w:r w:rsidR="002E7337" w:rsidRPr="008F569D">
        <w:rPr>
          <w:rFonts w:cstheme="minorHAnsi"/>
          <w:sz w:val="24"/>
          <w:szCs w:val="24"/>
        </w:rPr>
        <w:t>S</w:t>
      </w:r>
      <w:r w:rsidR="002E7337">
        <w:rPr>
          <w:rFonts w:cstheme="minorHAnsi"/>
          <w:sz w:val="24"/>
          <w:szCs w:val="24"/>
        </w:rPr>
        <w:t>8</w:t>
      </w:r>
      <w:r w:rsidRPr="008F569D">
        <w:rPr>
          <w:rFonts w:cstheme="minorHAnsi"/>
          <w:sz w:val="24"/>
          <w:szCs w:val="24"/>
        </w:rPr>
        <w:t xml:space="preserve">).  After filtering, 31,787 plots with phenotypic observations remained.  All </w:t>
      </w:r>
      <w:r w:rsidR="000767E7">
        <w:rPr>
          <w:rFonts w:cstheme="minorHAnsi"/>
          <w:sz w:val="24"/>
          <w:szCs w:val="24"/>
        </w:rPr>
        <w:t>environments</w:t>
      </w:r>
      <w:r w:rsidR="000767E7" w:rsidRPr="008F569D">
        <w:rPr>
          <w:rFonts w:cstheme="minorHAnsi"/>
          <w:sz w:val="24"/>
          <w:szCs w:val="24"/>
        </w:rPr>
        <w:t xml:space="preserve"> </w:t>
      </w:r>
      <w:r w:rsidRPr="008F569D">
        <w:rPr>
          <w:rFonts w:cstheme="minorHAnsi"/>
          <w:sz w:val="24"/>
          <w:szCs w:val="24"/>
        </w:rPr>
        <w:t xml:space="preserve">data for </w:t>
      </w:r>
      <w:r w:rsidR="000767E7">
        <w:rPr>
          <w:rFonts w:cstheme="minorHAnsi"/>
          <w:sz w:val="24"/>
          <w:szCs w:val="24"/>
        </w:rPr>
        <w:t xml:space="preserve">grain </w:t>
      </w:r>
      <w:r w:rsidRPr="008F569D">
        <w:rPr>
          <w:rFonts w:cstheme="minorHAnsi"/>
          <w:sz w:val="24"/>
          <w:szCs w:val="24"/>
        </w:rPr>
        <w:t>yield, but some missing values were present for other traits.</w:t>
      </w:r>
      <w:r w:rsidRPr="008F569D">
        <w:rPr>
          <w:rFonts w:cstheme="minorHAnsi"/>
          <w:sz w:val="24"/>
          <w:szCs w:val="24"/>
        </w:rPr>
        <w:tab/>
      </w:r>
    </w:p>
    <w:p w14:paraId="087DBC62" w14:textId="18C08200" w:rsidR="00D57722" w:rsidRDefault="00D57722" w:rsidP="00A15725">
      <w:pPr>
        <w:spacing w:line="480" w:lineRule="auto"/>
        <w:ind w:firstLine="720"/>
        <w:jc w:val="both"/>
        <w:rPr>
          <w:sz w:val="24"/>
          <w:szCs w:val="24"/>
        </w:rPr>
      </w:pPr>
      <w:r>
        <w:rPr>
          <w:rFonts w:cstheme="minorHAnsi"/>
          <w:sz w:val="24"/>
          <w:szCs w:val="24"/>
        </w:rPr>
        <w:t xml:space="preserve">During the initial Stage 1 analysis of individual environments, we discovered that the within-site heritability for all traits </w:t>
      </w:r>
      <w:r w:rsidRPr="008F569D">
        <w:rPr>
          <w:rFonts w:cstheme="minorHAnsi"/>
          <w:sz w:val="24"/>
          <w:szCs w:val="24"/>
        </w:rPr>
        <w:t>from Delaware in 2014 had</w:t>
      </w:r>
      <w:r>
        <w:rPr>
          <w:rFonts w:cstheme="minorHAnsi"/>
          <w:sz w:val="24"/>
          <w:szCs w:val="24"/>
        </w:rPr>
        <w:t xml:space="preserve"> zero heritability. Inspection of the raw data revealed that during the compilation of data from different locations, the data from this location had </w:t>
      </w:r>
      <w:r w:rsidRPr="008F569D">
        <w:rPr>
          <w:rFonts w:cstheme="minorHAnsi"/>
          <w:sz w:val="24"/>
          <w:szCs w:val="24"/>
        </w:rPr>
        <w:t xml:space="preserve">undergone a permutation from the original plot numbers. Information provided directly by the collaborators at the University of Delaware was used to correct the assignments </w:t>
      </w:r>
      <w:r w:rsidRPr="008F569D">
        <w:rPr>
          <w:rFonts w:cstheme="minorHAnsi"/>
          <w:sz w:val="24"/>
          <w:szCs w:val="24"/>
        </w:rPr>
        <w:lastRenderedPageBreak/>
        <w:t xml:space="preserve">of hybrids to plots.  </w:t>
      </w:r>
      <w:r w:rsidR="00397B99">
        <w:rPr>
          <w:rFonts w:cstheme="minorHAnsi"/>
          <w:sz w:val="24"/>
          <w:szCs w:val="24"/>
        </w:rPr>
        <w:t xml:space="preserve">We also discovered that </w:t>
      </w:r>
      <w:r w:rsidR="00397B99">
        <w:rPr>
          <w:sz w:val="24"/>
          <w:szCs w:val="24"/>
        </w:rPr>
        <w:t>all traits from</w:t>
      </w:r>
      <w:r w:rsidR="00397B99" w:rsidRPr="008F569D">
        <w:rPr>
          <w:sz w:val="24"/>
          <w:szCs w:val="24"/>
        </w:rPr>
        <w:t xml:space="preserve"> KSH1_2015 and KSH1</w:t>
      </w:r>
      <w:r w:rsidR="00397B99">
        <w:rPr>
          <w:sz w:val="24"/>
          <w:szCs w:val="24"/>
        </w:rPr>
        <w:t>_</w:t>
      </w:r>
      <w:r w:rsidR="00397B99" w:rsidRPr="008F569D">
        <w:rPr>
          <w:sz w:val="24"/>
          <w:szCs w:val="24"/>
        </w:rPr>
        <w:t xml:space="preserve">2016 had </w:t>
      </w:r>
      <w:proofErr w:type="spellStart"/>
      <w:r w:rsidR="00397B99" w:rsidRPr="008F569D">
        <w:rPr>
          <w:sz w:val="24"/>
          <w:szCs w:val="24"/>
        </w:rPr>
        <w:t>heritabilities</w:t>
      </w:r>
      <w:proofErr w:type="spellEnd"/>
      <w:r w:rsidR="00397B99" w:rsidRPr="008F569D">
        <w:rPr>
          <w:sz w:val="24"/>
          <w:szCs w:val="24"/>
        </w:rPr>
        <w:t xml:space="preserve"> less than 10%</w:t>
      </w:r>
      <w:r w:rsidR="00397B99">
        <w:rPr>
          <w:sz w:val="24"/>
          <w:szCs w:val="24"/>
        </w:rPr>
        <w:t xml:space="preserve">, but we were unable to identify a data </w:t>
      </w:r>
      <w:r w:rsidR="008321A3">
        <w:rPr>
          <w:sz w:val="24"/>
          <w:szCs w:val="24"/>
        </w:rPr>
        <w:t>compilation</w:t>
      </w:r>
      <w:r w:rsidR="00397B99">
        <w:rPr>
          <w:sz w:val="24"/>
          <w:szCs w:val="24"/>
        </w:rPr>
        <w:t xml:space="preserve"> error</w:t>
      </w:r>
      <w:r w:rsidR="00397B99" w:rsidRPr="008F569D">
        <w:rPr>
          <w:sz w:val="24"/>
          <w:szCs w:val="24"/>
        </w:rPr>
        <w:t xml:space="preserve">. </w:t>
      </w:r>
      <w:r w:rsidR="00397B99">
        <w:rPr>
          <w:sz w:val="24"/>
          <w:szCs w:val="24"/>
        </w:rPr>
        <w:t>Therefore, t</w:t>
      </w:r>
      <w:r w:rsidR="00397B99" w:rsidRPr="008F569D">
        <w:rPr>
          <w:sz w:val="24"/>
          <w:szCs w:val="24"/>
        </w:rPr>
        <w:t xml:space="preserve">hese two sites were removed from all further analyses.  </w:t>
      </w:r>
    </w:p>
    <w:p w14:paraId="68C74036" w14:textId="007AFE04" w:rsidR="008321A3" w:rsidRDefault="008321A3" w:rsidP="008321A3">
      <w:pPr>
        <w:spacing w:line="480" w:lineRule="auto"/>
        <w:ind w:firstLine="720"/>
        <w:jc w:val="both"/>
        <w:rPr>
          <w:rFonts w:eastAsiaTheme="minorEastAsia"/>
          <w:sz w:val="24"/>
          <w:szCs w:val="24"/>
        </w:rPr>
      </w:pPr>
      <w:r w:rsidRPr="00182B3B">
        <w:rPr>
          <w:rFonts w:eastAsiaTheme="minorEastAsia"/>
          <w:sz w:val="24"/>
          <w:szCs w:val="24"/>
        </w:rPr>
        <w:t>Echidna software achieved convergence relatively quickly for complex models with multiple relationship matrices or FA structures</w:t>
      </w:r>
      <w:r>
        <w:rPr>
          <w:rFonts w:eastAsiaTheme="minorEastAsia"/>
          <w:sz w:val="24"/>
          <w:szCs w:val="24"/>
        </w:rPr>
        <w:t xml:space="preserve"> for Stage 2 analyses</w:t>
      </w:r>
      <w:r w:rsidRPr="00182B3B">
        <w:rPr>
          <w:rFonts w:eastAsiaTheme="minorEastAsia"/>
          <w:sz w:val="24"/>
          <w:szCs w:val="24"/>
        </w:rPr>
        <w:t xml:space="preserve">.  Even complex G×E models were able to run in just over a day on eight 3.5 GHz processors and 64 GB RAM using Echidna Version 0.92 without specifying initial parameter values. All models reported here would be considered feasible for a breeding program to implement for use in making selection decisions in a timely fashion.  </w:t>
      </w:r>
    </w:p>
    <w:p w14:paraId="49AED2FD" w14:textId="77777777" w:rsidR="008321A3" w:rsidRPr="008F569D" w:rsidRDefault="008321A3" w:rsidP="00A15725">
      <w:pPr>
        <w:spacing w:line="480" w:lineRule="auto"/>
        <w:ind w:firstLine="720"/>
        <w:jc w:val="both"/>
        <w:rPr>
          <w:rFonts w:cstheme="minorHAnsi"/>
          <w:sz w:val="24"/>
          <w:szCs w:val="24"/>
        </w:rPr>
      </w:pPr>
    </w:p>
    <w:p w14:paraId="0AF4AE09" w14:textId="77777777" w:rsidR="00A15725" w:rsidRPr="00BD3118" w:rsidRDefault="00A15725" w:rsidP="00A15725">
      <w:pPr>
        <w:pStyle w:val="Heading2"/>
        <w:spacing w:line="480" w:lineRule="auto"/>
      </w:pPr>
      <w:r w:rsidRPr="00BD3118">
        <w:t>Weather Data</w:t>
      </w:r>
    </w:p>
    <w:p w14:paraId="67C5533A" w14:textId="604915D5" w:rsidR="00A15725" w:rsidRPr="008F569D" w:rsidRDefault="00A15725" w:rsidP="00A15725">
      <w:pPr>
        <w:spacing w:line="480" w:lineRule="auto"/>
        <w:ind w:firstLine="720"/>
        <w:jc w:val="both"/>
        <w:rPr>
          <w:sz w:val="24"/>
          <w:szCs w:val="24"/>
        </w:rPr>
      </w:pPr>
      <w:r w:rsidRPr="008F569D">
        <w:rPr>
          <w:sz w:val="24"/>
          <w:szCs w:val="24"/>
        </w:rPr>
        <w:t>Spectrum (Aurora, IL) watchdog weather stations were placed adjacent to fields to collect readings on temperatures, humidity, dew point, precipitation, wind direction and speed, and solar radiation every thirty minutes.  However, some stations were not deployed until up to 6 weeks after planting, and some stations malfunctioned, resulting in large amounts of missing data in the raw weather datasets.  To remedy this, values for missing weather variables except solar radiation, were imputed using daily measurements from the nearest local airport weather station.  First, 30-minute resolution Spectrum station weather data was summarized to daily values (</w:t>
      </w:r>
      <w:r w:rsidRPr="00850159">
        <w:rPr>
          <w:bCs/>
          <w:sz w:val="24"/>
          <w:szCs w:val="24"/>
        </w:rPr>
        <w:t xml:space="preserve">File </w:t>
      </w:r>
      <w:r w:rsidR="002E7337" w:rsidRPr="00850159">
        <w:rPr>
          <w:bCs/>
          <w:sz w:val="24"/>
          <w:szCs w:val="24"/>
        </w:rPr>
        <w:t>S</w:t>
      </w:r>
      <w:r w:rsidR="002E7337">
        <w:rPr>
          <w:bCs/>
          <w:sz w:val="24"/>
          <w:szCs w:val="24"/>
        </w:rPr>
        <w:t>16</w:t>
      </w:r>
      <w:r w:rsidRPr="008F569D">
        <w:rPr>
          <w:sz w:val="24"/>
          <w:szCs w:val="24"/>
        </w:rPr>
        <w:t xml:space="preserve">). Maximum, minimum, and mean daily temperatures were calculated, along with daily mean dewpoints, humidity, wind speed, and total precipitation.  Missing values for temperatures, dew point, windspeed, and total precipitation were imputed using information </w:t>
      </w:r>
      <w:r w:rsidRPr="008F569D">
        <w:rPr>
          <w:sz w:val="24"/>
          <w:szCs w:val="24"/>
        </w:rPr>
        <w:lastRenderedPageBreak/>
        <w:t>scraped from Weather Underground’s (https://www.wunderground.com/) historical database from the closest airport</w:t>
      </w:r>
      <w:r w:rsidR="000767E7">
        <w:rPr>
          <w:sz w:val="24"/>
          <w:szCs w:val="24"/>
        </w:rPr>
        <w:t xml:space="preserve"> </w:t>
      </w:r>
      <w:r w:rsidRPr="008F569D">
        <w:rPr>
          <w:sz w:val="24"/>
          <w:szCs w:val="24"/>
        </w:rPr>
        <w:fldChar w:fldCharType="begin" w:fldLock="1"/>
      </w:r>
      <w:r w:rsidR="000767E7">
        <w:rPr>
          <w:sz w:val="24"/>
          <w:szCs w:val="24"/>
        </w:rPr>
        <w:instrText>ADDIN CSL_CITATION {"citationItems":[{"id":"ITEM-1","itemData":{"URL":"https://www.wunderground.com/","accessed":{"date-parts":[["2017","1","1"]]},"id":"ITEM-1","issued":{"date-parts":[["0"]]},"title":"Weather Underground","type":"webpage"},"uris":["http://www.mendeley.com/documents/?uuid=49bdb6be-bc4f-4e36-b8f5-89277b90281b"]}],"mendeley":{"formattedCitation":"(“Weather Underground”)","plainTextFormattedCitation":"(“Weather Underground”)","previouslyFormattedCitation":"(“Weather Underground”)"},"properties":{"noteIndex":0},"schema":"https://github.com/citation-style-language/schema/raw/master/csl-citation.json"}</w:instrText>
      </w:r>
      <w:r w:rsidRPr="008F569D">
        <w:rPr>
          <w:sz w:val="24"/>
          <w:szCs w:val="24"/>
        </w:rPr>
        <w:fldChar w:fldCharType="separate"/>
      </w:r>
      <w:r w:rsidR="000767E7" w:rsidRPr="000767E7">
        <w:rPr>
          <w:noProof/>
          <w:sz w:val="24"/>
          <w:szCs w:val="24"/>
        </w:rPr>
        <w:t>(“Weather Underground”)</w:t>
      </w:r>
      <w:r w:rsidRPr="008F569D">
        <w:rPr>
          <w:sz w:val="24"/>
          <w:szCs w:val="24"/>
        </w:rPr>
        <w:fldChar w:fldCharType="end"/>
      </w:r>
      <w:r w:rsidRPr="008F569D">
        <w:rPr>
          <w:sz w:val="24"/>
          <w:szCs w:val="24"/>
        </w:rPr>
        <w:t xml:space="preserve">.  Wind speed and direction measurements from all Spectrum stations were considered to be unreliable because the winds were partly blocked once adjacent maize plants grew to the height of the anemometer.  Therefore, all wind speed values were imputed using web scraping from Weather Underground </w:t>
      </w:r>
      <w:r w:rsidRPr="008F569D">
        <w:rPr>
          <w:sz w:val="24"/>
          <w:szCs w:val="24"/>
        </w:rPr>
        <w:fldChar w:fldCharType="begin" w:fldLock="1"/>
      </w:r>
      <w:r w:rsidR="000767E7">
        <w:rPr>
          <w:sz w:val="24"/>
          <w:szCs w:val="24"/>
        </w:rPr>
        <w:instrText>ADDIN CSL_CITATION {"citationItems":[{"id":"ITEM-1","itemData":{"URL":"https://www.wunderground.com/","accessed":{"date-parts":[["2017","1","1"]]},"id":"ITEM-1","issued":{"date-parts":[["0"]]},"title":"Weather Underground","type":"webpage"},"uris":["http://www.mendeley.com/documents/?uuid=49bdb6be-bc4f-4e36-b8f5-89277b90281b"]}],"mendeley":{"formattedCitation":"(“Weather Underground”)","plainTextFormattedCitation":"(“Weather Underground”)","previouslyFormattedCitation":"(“Weather Underground”)"},"properties":{"noteIndex":0},"schema":"https://github.com/citation-style-language/schema/raw/master/csl-citation.json"}</w:instrText>
      </w:r>
      <w:r w:rsidRPr="008F569D">
        <w:rPr>
          <w:sz w:val="24"/>
          <w:szCs w:val="24"/>
        </w:rPr>
        <w:fldChar w:fldCharType="separate"/>
      </w:r>
      <w:r w:rsidR="000767E7" w:rsidRPr="000767E7">
        <w:rPr>
          <w:noProof/>
          <w:sz w:val="24"/>
          <w:szCs w:val="24"/>
        </w:rPr>
        <w:t>(“Weather Underground”)</w:t>
      </w:r>
      <w:r w:rsidRPr="008F569D">
        <w:rPr>
          <w:sz w:val="24"/>
          <w:szCs w:val="24"/>
        </w:rPr>
        <w:fldChar w:fldCharType="end"/>
      </w:r>
      <w:r w:rsidRPr="008F569D">
        <w:rPr>
          <w:sz w:val="24"/>
          <w:szCs w:val="24"/>
        </w:rPr>
        <w:t>.</w:t>
      </w:r>
      <w:r w:rsidR="000767E7">
        <w:rPr>
          <w:sz w:val="24"/>
          <w:szCs w:val="24"/>
        </w:rPr>
        <w:t xml:space="preserve"> </w:t>
      </w:r>
      <w:r w:rsidRPr="008F569D">
        <w:rPr>
          <w:sz w:val="24"/>
          <w:szCs w:val="24"/>
        </w:rPr>
        <w:t xml:space="preserve">As a check on weather data reliability, the weather data for each environment was compared to data from same dates at nearest weather stations included in the Iowa Environmental </w:t>
      </w:r>
      <w:proofErr w:type="spellStart"/>
      <w:r w:rsidRPr="008F569D">
        <w:rPr>
          <w:sz w:val="24"/>
          <w:szCs w:val="24"/>
        </w:rPr>
        <w:t>Mesonet</w:t>
      </w:r>
      <w:proofErr w:type="spellEnd"/>
      <w:r w:rsidRPr="008F569D">
        <w:rPr>
          <w:sz w:val="24"/>
          <w:szCs w:val="24"/>
        </w:rPr>
        <w:t xml:space="preserve"> (IEM) ASOS </w:t>
      </w:r>
      <w:r w:rsidRPr="008F569D">
        <w:rPr>
          <w:sz w:val="24"/>
          <w:szCs w:val="24"/>
        </w:rPr>
        <w:fldChar w:fldCharType="begin" w:fldLock="1"/>
      </w:r>
      <w:r w:rsidR="000767E7">
        <w:rPr>
          <w:sz w:val="24"/>
          <w:szCs w:val="24"/>
        </w:rPr>
        <w:instrText>ADDIN CSL_CITATION {"citationItems":[{"id":"ITEM-1","itemData":{"id":"ITEM-1","issued":{"date-parts":[["2019"]]},"title":"Iowa Environmental Mesonet","type":"webpage"},"uris":["http://www.mendeley.com/documents/?uuid=00c88f49-4f73-4a41-a29a-ce75f1291408","http://www.mendeley.com/documents/?uuid=03e5087d-8ef5-4422-9545-6fe8cca16e9e"]}],"mendeley":{"formattedCitation":"(“Iowa Environmental Mesonet” 2019)","plainTextFormattedCitation":"(“Iowa Environmental Mesonet” 2019)","previouslyFormattedCitation":"(“Iowa Environmental Mesonet” 2019)"},"properties":{"noteIndex":0},"schema":"https://github.com/citation-style-language/schema/raw/master/csl-citation.json"}</w:instrText>
      </w:r>
      <w:r w:rsidRPr="008F569D">
        <w:rPr>
          <w:sz w:val="24"/>
          <w:szCs w:val="24"/>
        </w:rPr>
        <w:fldChar w:fldCharType="separate"/>
      </w:r>
      <w:r w:rsidR="000767E7" w:rsidRPr="000767E7">
        <w:rPr>
          <w:noProof/>
          <w:sz w:val="24"/>
          <w:szCs w:val="24"/>
        </w:rPr>
        <w:t>(“Iowa Environmental Mesonet” 2019)</w:t>
      </w:r>
      <w:r w:rsidRPr="008F569D">
        <w:rPr>
          <w:sz w:val="24"/>
          <w:szCs w:val="24"/>
        </w:rPr>
        <w:fldChar w:fldCharType="end"/>
      </w:r>
      <w:r w:rsidRPr="008F569D">
        <w:rPr>
          <w:sz w:val="24"/>
          <w:szCs w:val="24"/>
        </w:rPr>
        <w:t>. Daily Spectrum station and IEM station data were correlated highly in 2014 and 2015 but had approximately zero correlation in the 201</w:t>
      </w:r>
      <w:bookmarkStart w:id="1" w:name="_GoBack"/>
      <w:bookmarkEnd w:id="1"/>
      <w:r w:rsidRPr="008F569D">
        <w:rPr>
          <w:sz w:val="24"/>
          <w:szCs w:val="24"/>
        </w:rPr>
        <w:t>6 data set (</w:t>
      </w:r>
      <w:r w:rsidRPr="00850159">
        <w:rPr>
          <w:sz w:val="24"/>
          <w:szCs w:val="24"/>
        </w:rPr>
        <w:t xml:space="preserve">File </w:t>
      </w:r>
      <w:r w:rsidR="002E7337" w:rsidRPr="00850159">
        <w:rPr>
          <w:sz w:val="24"/>
          <w:szCs w:val="24"/>
        </w:rPr>
        <w:t>S</w:t>
      </w:r>
      <w:r w:rsidR="002E7337">
        <w:rPr>
          <w:sz w:val="24"/>
          <w:szCs w:val="24"/>
        </w:rPr>
        <w:t>17</w:t>
      </w:r>
      <w:r w:rsidRPr="008F569D">
        <w:rPr>
          <w:sz w:val="24"/>
          <w:szCs w:val="24"/>
        </w:rPr>
        <w:t>).  Further investigation revealed a permutation in the initially released 2016 environmental data, rendering it unusable.  For this reason, all 2016 Spectrum station environmental data were discarded and replaced with the nearest 2016 IEM data for respective locations as a best proxy for field data.  Data from 2014 and 2015 was checked for outliers where G2F and IEM data for temperature related variables differed by more than 7 °C.  In these cases, three data sources closest to the environment (Spectrum data, IEM, and Weather Underground were compared to determine a consensus value.  Where Weather Underground agreed with the Spectrum data, the Spectrum data point was kept, and where Weather Underground agreed with IEM, the IEM values were kept. Temperature, dew point, and relative humidity are all interrelated, providing a means to impute missing data for one of the values when the other two measurements were recorded. Dew point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d</m:t>
            </m:r>
          </m:sub>
        </m:sSub>
      </m:oMath>
      <w:r w:rsidRPr="008F569D">
        <w:rPr>
          <w:sz w:val="24"/>
          <w:szCs w:val="24"/>
        </w:rPr>
        <w:t>) is a function of relative humidity (</w:t>
      </w:r>
      <m:oMath>
        <m:r>
          <w:rPr>
            <w:rFonts w:ascii="Cambria Math" w:hAnsi="Cambria Math"/>
            <w:sz w:val="24"/>
            <w:szCs w:val="24"/>
          </w:rPr>
          <m:t>RH</m:t>
        </m:r>
      </m:oMath>
      <w:r w:rsidRPr="008F569D">
        <w:rPr>
          <w:rFonts w:eastAsiaTheme="minorEastAsia"/>
          <w:sz w:val="24"/>
          <w:szCs w:val="24"/>
        </w:rPr>
        <w:t xml:space="preserve">; </w:t>
      </w:r>
      <w:r w:rsidRPr="008F569D">
        <w:rPr>
          <w:sz w:val="24"/>
          <w:szCs w:val="24"/>
        </w:rPr>
        <w:t>the ratio of actual water vapor pressure to saturation vapor pressure) and mean daily temperature (</w:t>
      </w:r>
      <m:oMath>
        <m:r>
          <w:rPr>
            <w:rFonts w:ascii="Cambria Math" w:hAnsi="Cambria Math"/>
            <w:sz w:val="24"/>
            <w:szCs w:val="24"/>
          </w:rPr>
          <m:t>T</m:t>
        </m:r>
      </m:oMath>
      <w:r w:rsidRPr="008F569D">
        <w:rPr>
          <w:sz w:val="24"/>
          <w:szCs w:val="24"/>
        </w:rPr>
        <w:t>) to dew point</w:t>
      </w:r>
      <w:r w:rsidR="000767E7">
        <w:rPr>
          <w:sz w:val="24"/>
          <w:szCs w:val="24"/>
        </w:rPr>
        <w:t xml:space="preserve"> as follows</w:t>
      </w:r>
      <w:r w:rsidRPr="008F569D">
        <w:rPr>
          <w:sz w:val="24"/>
          <w:szCs w:val="24"/>
        </w:rPr>
        <w:t xml:space="preserve"> </w:t>
      </w:r>
      <w:r w:rsidR="000767E7" w:rsidRPr="008F569D">
        <w:rPr>
          <w:sz w:val="24"/>
          <w:szCs w:val="24"/>
        </w:rPr>
        <w:fldChar w:fldCharType="begin" w:fldLock="1"/>
      </w:r>
      <w:r w:rsidR="000767E7">
        <w:rPr>
          <w:sz w:val="24"/>
          <w:szCs w:val="24"/>
        </w:rPr>
        <w:instrText>ADDIN CSL_CITATION {"citationItems":[{"id":"ITEM-1","itemData":{"DOI":"10.1175/BAMS-86-2-225","ISBN":"1520-0477","ISSN":"00030007","abstract":"Abstract The relative humidity (RH) and the dewpoint temperature (td) are two widely used indicators of the amount of moisture in air. The exact conversion from RH to td, as well as highly accurate approximations, are too complex to be done easily without the help of a calculator or computer. However, there is a very simple rule of thumb that can be very useful for approximating the conversion for moist air (RH &gt; 50%), which does not appear to be widely known by the meteorological community: td decreases by about 1°C for every 5% decrease in RH (starting at td = t, the dry bulb temperature, when RH = 100%). This article examines the mathematical basis and accuracy of this and other relationships between the dewpoint and relative humidity. Several useful applications of the simple conversion are presented, in particular the computation of the cumulus cloud-base level (or lifting condensation level) as zLCL ≈ (20 + t/5) (100 ? RH), where zLCL is in meters when t is in degrees Celcius and RH in percent. Finally, a historical perspective is given with anecdotes about some of the early work in this field.","author":[{"dropping-particle":"","family":"Lawrence","given":"Mark G.","non-dropping-particle":"","parse-names":false,"suffix":""}],"container-title":"Bulletin of the American Meteorological Society","id":"ITEM-1","issue":"2","issued":{"date-parts":[["2005"]]},"page":"225-233","title":"The relationship between relative humidity and the dewpoint temperature in moist air: A simple conversion and applications","type":"article-journal","volume":"86"},"uris":["http://www.mendeley.com/documents/?uuid=0d433c30-d246-4581-be88-45b2d53566da"]}],"mendeley":{"formattedCitation":"(Lawrence 2005)","plainTextFormattedCitation":"(Lawrence 2005)","previouslyFormattedCitation":"(Lawrence 2005)"},"properties":{"noteIndex":0},"schema":"https://github.com/citation-style-language/schema/raw/master/csl-citation.json"}</w:instrText>
      </w:r>
      <w:r w:rsidR="000767E7" w:rsidRPr="008F569D">
        <w:rPr>
          <w:sz w:val="24"/>
          <w:szCs w:val="24"/>
        </w:rPr>
        <w:fldChar w:fldCharType="separate"/>
      </w:r>
      <w:r w:rsidR="000767E7" w:rsidRPr="000767E7">
        <w:rPr>
          <w:noProof/>
          <w:sz w:val="24"/>
          <w:szCs w:val="24"/>
        </w:rPr>
        <w:t>(Lawrence 2005)</w:t>
      </w:r>
      <w:r w:rsidR="000767E7" w:rsidRPr="008F569D">
        <w:rPr>
          <w:sz w:val="24"/>
          <w:szCs w:val="24"/>
        </w:rPr>
        <w:fldChar w:fldCharType="end"/>
      </w:r>
      <w:r w:rsidR="000767E7">
        <w:rPr>
          <w:sz w:val="24"/>
          <w:szCs w:val="24"/>
        </w:rPr>
        <w:t>:</w:t>
      </w:r>
    </w:p>
    <w:p w14:paraId="1816CE9C" w14:textId="77777777" w:rsidR="00A15725" w:rsidRPr="008F569D" w:rsidRDefault="00367978" w:rsidP="00A15725">
      <w:pPr>
        <w:spacing w:line="480" w:lineRule="auto"/>
        <w:ind w:left="36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d</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243.04</m:t>
              </m:r>
              <m:d>
                <m:dPr>
                  <m:begChr m:val="["/>
                  <m:endChr m:val="]"/>
                  <m:ctrlPr>
                    <w:rPr>
                      <w:rFonts w:ascii="Cambria Math" w:hAnsi="Cambria Math"/>
                      <w:sz w:val="24"/>
                      <w:szCs w:val="24"/>
                    </w:rPr>
                  </m:ctrlPr>
                </m:dPr>
                <m:e>
                  <m:func>
                    <m:funcPr>
                      <m:ctrlPr>
                        <w:rPr>
                          <w:rFonts w:ascii="Cambria Math" w:hAnsi="Cambria Math"/>
                          <w:sz w:val="24"/>
                          <w:szCs w:val="24"/>
                        </w:rPr>
                      </m:ctrlPr>
                    </m:funcPr>
                    <m:fName>
                      <m:r>
                        <m:rPr>
                          <m:sty m:val="p"/>
                        </m:rPr>
                        <w:rPr>
                          <w:rFonts w:ascii="Cambria Math" w:hAnsi="Cambria Math"/>
                          <w:sz w:val="24"/>
                          <w:szCs w:val="24"/>
                        </w:rPr>
                        <m:t>ln</m:t>
                      </m:r>
                      <m:ctrlPr>
                        <w:rPr>
                          <w:rFonts w:ascii="Cambria Math" w:hAnsi="Cambria Math"/>
                          <w:i/>
                          <w:sz w:val="24"/>
                          <w:szCs w:val="24"/>
                        </w:rPr>
                      </m:ctrlPr>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RH</m:t>
                              </m:r>
                            </m:num>
                            <m:den>
                              <m:r>
                                <w:rPr>
                                  <w:rFonts w:ascii="Cambria Math" w:hAnsi="Cambria Math"/>
                                  <w:sz w:val="24"/>
                                  <w:szCs w:val="24"/>
                                </w:rPr>
                                <m:t>100</m:t>
                              </m:r>
                            </m:den>
                          </m:f>
                        </m:e>
                      </m:d>
                    </m:e>
                  </m:func>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17.625*T</m:t>
                      </m:r>
                    </m:num>
                    <m:den>
                      <m:r>
                        <w:rPr>
                          <w:rFonts w:ascii="Cambria Math" w:hAnsi="Cambria Math"/>
                          <w:sz w:val="24"/>
                          <w:szCs w:val="24"/>
                        </w:rPr>
                        <m:t>243.04+T</m:t>
                      </m:r>
                    </m:den>
                  </m:f>
                </m:e>
              </m:d>
            </m:num>
            <m:den>
              <m:r>
                <w:rPr>
                  <w:rFonts w:ascii="Cambria Math" w:hAnsi="Cambria Math"/>
                  <w:sz w:val="24"/>
                  <w:szCs w:val="24"/>
                </w:rPr>
                <m:t>17.625-</m:t>
              </m:r>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RH</m:t>
                          </m:r>
                        </m:num>
                        <m:den>
                          <m:r>
                            <w:rPr>
                              <w:rFonts w:ascii="Cambria Math" w:hAnsi="Cambria Math"/>
                              <w:sz w:val="24"/>
                              <w:szCs w:val="24"/>
                            </w:rPr>
                            <m:t>100</m:t>
                          </m:r>
                        </m:den>
                      </m:f>
                    </m:e>
                  </m:d>
                </m:e>
              </m:func>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17.625*T</m:t>
                  </m:r>
                </m:num>
                <m:den>
                  <m:r>
                    <w:rPr>
                      <w:rFonts w:ascii="Cambria Math" w:hAnsi="Cambria Math"/>
                      <w:sz w:val="24"/>
                      <w:szCs w:val="24"/>
                    </w:rPr>
                    <m:t>243.04+T</m:t>
                  </m:r>
                </m:den>
              </m:f>
            </m:den>
          </m:f>
          <m:r>
            <w:rPr>
              <w:rFonts w:ascii="Cambria Math" w:hAnsi="Cambria Math"/>
              <w:sz w:val="24"/>
              <w:szCs w:val="24"/>
            </w:rPr>
            <m:t xml:space="preserve">         (1</m:t>
          </m:r>
          <m:r>
            <w:rPr>
              <w:rFonts w:ascii="Cambria Math" w:eastAsiaTheme="minorEastAsia" w:hAnsi="Cambria Math"/>
              <w:sz w:val="24"/>
              <w:szCs w:val="24"/>
            </w:rPr>
            <m:t>)</m:t>
          </m:r>
        </m:oMath>
      </m:oMathPara>
    </w:p>
    <w:p w14:paraId="3E00F7C9" w14:textId="77777777" w:rsidR="00A15725" w:rsidRPr="008F569D" w:rsidRDefault="00A15725" w:rsidP="00A15725">
      <w:pPr>
        <w:spacing w:line="480" w:lineRule="auto"/>
        <w:rPr>
          <w:rFonts w:eastAsiaTheme="minorEastAsia"/>
          <w:sz w:val="24"/>
          <w:szCs w:val="24"/>
        </w:rPr>
      </w:pPr>
      <w:r w:rsidRPr="008F569D">
        <w:rPr>
          <w:rFonts w:eastAsiaTheme="minorEastAsia"/>
          <w:sz w:val="24"/>
          <w:szCs w:val="24"/>
        </w:rPr>
        <w:t>This equation was tested on observations where all three values were present to check for accuracy.  Finding high accuracy (</w:t>
      </w:r>
      <m:oMath>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w:rPr>
            <w:rFonts w:ascii="Cambria Math" w:eastAsiaTheme="minorEastAsia" w:hAnsi="Cambria Math"/>
            <w:sz w:val="24"/>
            <w:szCs w:val="24"/>
          </w:rPr>
          <m:t>=0.9993</m:t>
        </m:r>
      </m:oMath>
      <w:r w:rsidRPr="008F569D">
        <w:rPr>
          <w:rFonts w:eastAsiaTheme="minorEastAsia"/>
          <w:sz w:val="24"/>
          <w:szCs w:val="24"/>
        </w:rPr>
        <w:t xml:space="preserve">), this calculation was used to impute dew point for observations where readings for </w:t>
      </w:r>
      <m:oMath>
        <m:r>
          <w:rPr>
            <w:rFonts w:ascii="Cambria Math" w:eastAsiaTheme="minorEastAsia" w:hAnsi="Cambria Math"/>
            <w:sz w:val="24"/>
            <w:szCs w:val="24"/>
          </w:rPr>
          <m:t>RH</m:t>
        </m:r>
      </m:oMath>
      <w:r w:rsidRPr="008F569D">
        <w:rPr>
          <w:rFonts w:eastAsiaTheme="minorEastAsia"/>
          <w:sz w:val="24"/>
          <w:szCs w:val="24"/>
        </w:rPr>
        <w:t xml:space="preserve"> and </w:t>
      </w:r>
      <m:oMath>
        <m:r>
          <w:rPr>
            <w:rFonts w:ascii="Cambria Math" w:eastAsiaTheme="minorEastAsia" w:hAnsi="Cambria Math"/>
            <w:sz w:val="24"/>
            <w:szCs w:val="24"/>
          </w:rPr>
          <m:t>T</m:t>
        </m:r>
      </m:oMath>
      <w:r w:rsidRPr="008F569D">
        <w:rPr>
          <w:rFonts w:eastAsiaTheme="minorEastAsia"/>
          <w:sz w:val="24"/>
          <w:szCs w:val="24"/>
        </w:rPr>
        <w:t xml:space="preserve"> were present, but </w:t>
      </w:r>
      <m:oMath>
        <m:sSub>
          <m:sSubPr>
            <m:ctrlPr>
              <w:rPr>
                <w:rFonts w:ascii="Cambria Math" w:eastAsiaTheme="minorEastAsia" w:hAnsi="Cambria Math"/>
                <w:i/>
                <w:sz w:val="24"/>
                <w:szCs w:val="24"/>
                <w:vertAlign w:val="subscript"/>
              </w:rPr>
            </m:ctrlPr>
          </m:sSubPr>
          <m:e>
            <m:r>
              <w:rPr>
                <w:rFonts w:ascii="Cambria Math" w:eastAsiaTheme="minorEastAsia" w:hAnsi="Cambria Math"/>
                <w:sz w:val="24"/>
                <w:szCs w:val="24"/>
              </w:rPr>
              <m:t>T</m:t>
            </m:r>
            <m:ctrlPr>
              <w:rPr>
                <w:rFonts w:ascii="Cambria Math" w:eastAsiaTheme="minorEastAsia" w:hAnsi="Cambria Math"/>
                <w:i/>
                <w:sz w:val="24"/>
                <w:szCs w:val="24"/>
              </w:rPr>
            </m:ctrlPr>
          </m:e>
          <m:sub>
            <m:r>
              <w:rPr>
                <w:rFonts w:ascii="Cambria Math" w:eastAsiaTheme="minorEastAsia" w:hAnsi="Cambria Math"/>
                <w:sz w:val="24"/>
                <w:szCs w:val="24"/>
                <w:vertAlign w:val="subscript"/>
              </w:rPr>
              <m:t>d</m:t>
            </m:r>
          </m:sub>
        </m:sSub>
      </m:oMath>
      <w:r w:rsidRPr="008F569D">
        <w:rPr>
          <w:rFonts w:eastAsiaTheme="minorEastAsia"/>
          <w:sz w:val="24"/>
          <w:szCs w:val="24"/>
        </w:rPr>
        <w:t xml:space="preserve"> was missing.</w:t>
      </w:r>
    </w:p>
    <w:p w14:paraId="462EADF0" w14:textId="77777777" w:rsidR="00A15725" w:rsidRPr="008F569D" w:rsidRDefault="00A15725" w:rsidP="00A15725">
      <w:pPr>
        <w:spacing w:line="480" w:lineRule="auto"/>
        <w:ind w:firstLine="720"/>
        <w:jc w:val="both"/>
        <w:rPr>
          <w:rFonts w:eastAsiaTheme="minorEastAsia"/>
          <w:sz w:val="24"/>
          <w:szCs w:val="24"/>
        </w:rPr>
      </w:pPr>
      <w:r w:rsidRPr="008F569D">
        <w:rPr>
          <w:rFonts w:eastAsiaTheme="minorEastAsia"/>
          <w:sz w:val="24"/>
          <w:szCs w:val="24"/>
        </w:rPr>
        <w:t>A formula to calculate relative humidity was derived from equation 1 and is given in equation 2 by solving algebraically for relative humidity.  This equation was tested on observations where all three values were present from the in-field weather station to check for accuracy and was found to be highly accurate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w:rPr>
            <w:rFonts w:ascii="Cambria Math" w:eastAsiaTheme="minorEastAsia" w:hAnsi="Cambria Math"/>
            <w:sz w:val="24"/>
            <w:szCs w:val="24"/>
          </w:rPr>
          <m:t>=0.9999</m:t>
        </m:r>
      </m:oMath>
      <w:r w:rsidRPr="008F569D">
        <w:rPr>
          <w:rFonts w:eastAsiaTheme="minorEastAsia"/>
          <w:sz w:val="24"/>
          <w:szCs w:val="24"/>
        </w:rPr>
        <w:t xml:space="preserve">).  Equation 2 was used to impute relative humidity for observations where readings for </w:t>
      </w:r>
      <m:oMath>
        <m:r>
          <w:rPr>
            <w:rFonts w:ascii="Cambria Math" w:eastAsiaTheme="minorEastAsia" w:hAnsi="Cambria Math"/>
            <w:sz w:val="24"/>
            <w:szCs w:val="24"/>
          </w:rPr>
          <m:t>T</m:t>
        </m:r>
      </m:oMath>
      <w:r w:rsidRPr="008F569D">
        <w:rPr>
          <w:rFonts w:eastAsiaTheme="minorEastAsia"/>
          <w:sz w:val="24"/>
          <w:szCs w:val="24"/>
        </w:rPr>
        <w:t xml:space="preserve"> and </w:t>
      </w:r>
      <m:oMath>
        <m:sSub>
          <m:sSubPr>
            <m:ctrlPr>
              <w:rPr>
                <w:rFonts w:ascii="Cambria Math" w:eastAsiaTheme="minorEastAsia" w:hAnsi="Cambria Math"/>
                <w:i/>
                <w:sz w:val="24"/>
                <w:szCs w:val="24"/>
                <w:vertAlign w:val="subscript"/>
              </w:rPr>
            </m:ctrlPr>
          </m:sSubPr>
          <m:e>
            <m:r>
              <w:rPr>
                <w:rFonts w:ascii="Cambria Math" w:eastAsiaTheme="minorEastAsia" w:hAnsi="Cambria Math"/>
                <w:sz w:val="24"/>
                <w:szCs w:val="24"/>
              </w:rPr>
              <m:t>T</m:t>
            </m:r>
            <m:ctrlPr>
              <w:rPr>
                <w:rFonts w:ascii="Cambria Math" w:eastAsiaTheme="minorEastAsia" w:hAnsi="Cambria Math"/>
                <w:i/>
                <w:sz w:val="24"/>
                <w:szCs w:val="24"/>
              </w:rPr>
            </m:ctrlPr>
          </m:e>
          <m:sub>
            <m:r>
              <w:rPr>
                <w:rFonts w:ascii="Cambria Math" w:eastAsiaTheme="minorEastAsia" w:hAnsi="Cambria Math"/>
                <w:sz w:val="24"/>
                <w:szCs w:val="24"/>
                <w:vertAlign w:val="subscript"/>
              </w:rPr>
              <m:t>d</m:t>
            </m:r>
          </m:sub>
        </m:sSub>
      </m:oMath>
      <w:r w:rsidRPr="008F569D">
        <w:rPr>
          <w:rFonts w:eastAsiaTheme="minorEastAsia"/>
          <w:sz w:val="24"/>
          <w:szCs w:val="24"/>
        </w:rPr>
        <w:t xml:space="preserve"> were present, but </w:t>
      </w:r>
      <m:oMath>
        <m:r>
          <w:rPr>
            <w:rFonts w:ascii="Cambria Math" w:eastAsiaTheme="minorEastAsia" w:hAnsi="Cambria Math"/>
            <w:sz w:val="24"/>
            <w:szCs w:val="24"/>
          </w:rPr>
          <m:t>RH</m:t>
        </m:r>
      </m:oMath>
      <w:r w:rsidRPr="008F569D">
        <w:rPr>
          <w:rFonts w:eastAsiaTheme="minorEastAsia"/>
          <w:sz w:val="24"/>
          <w:szCs w:val="24"/>
        </w:rPr>
        <w:t xml:space="preserve"> was missing.</w:t>
      </w:r>
    </w:p>
    <w:p w14:paraId="07D3BAD0" w14:textId="77777777" w:rsidR="00A15725" w:rsidRPr="008F569D" w:rsidRDefault="00A15725" w:rsidP="00A15725">
      <w:pPr>
        <w:spacing w:line="480" w:lineRule="auto"/>
        <w:rPr>
          <w:rFonts w:eastAsiaTheme="minorEastAsia"/>
          <w:sz w:val="24"/>
          <w:szCs w:val="24"/>
        </w:rPr>
      </w:pPr>
      <m:oMathPara>
        <m:oMath>
          <m:r>
            <w:rPr>
              <w:rFonts w:ascii="Cambria Math" w:hAnsi="Cambria Math"/>
              <w:sz w:val="24"/>
              <w:szCs w:val="24"/>
            </w:rPr>
            <m:t>RH=</m:t>
          </m:r>
          <m:sSup>
            <m:sSupPr>
              <m:ctrlPr>
                <w:rPr>
                  <w:rFonts w:ascii="Cambria Math" w:hAnsi="Cambria Math"/>
                  <w:i/>
                  <w:sz w:val="24"/>
                  <w:szCs w:val="24"/>
                </w:rPr>
              </m:ctrlPr>
            </m:sSupPr>
            <m:e>
              <m:r>
                <w:rPr>
                  <w:rFonts w:ascii="Cambria Math" w:hAnsi="Cambria Math"/>
                  <w:sz w:val="24"/>
                  <w:szCs w:val="24"/>
                </w:rPr>
                <m:t>2.71828</m:t>
              </m:r>
            </m:e>
            <m:sup>
              <m:f>
                <m:fPr>
                  <m:ctrlPr>
                    <w:rPr>
                      <w:rFonts w:ascii="Cambria Math" w:hAnsi="Cambria Math"/>
                      <w:i/>
                      <w:sz w:val="24"/>
                      <w:szCs w:val="24"/>
                    </w:rPr>
                  </m:ctrlPr>
                </m:fPr>
                <m:num>
                  <m:r>
                    <w:rPr>
                      <w:rFonts w:ascii="Cambria Math" w:hAnsi="Cambria Math"/>
                      <w:sz w:val="24"/>
                      <w:szCs w:val="24"/>
                    </w:rPr>
                    <m:t>5756.46*T*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d</m:t>
                      </m:r>
                    </m:sub>
                  </m:sSub>
                  <m:r>
                    <w:rPr>
                      <w:rFonts w:ascii="Cambria Math" w:hAnsi="Cambria Math"/>
                      <w:sz w:val="24"/>
                      <w:szCs w:val="24"/>
                    </w:rPr>
                    <m:t xml:space="preserve"> - 3.95542*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*T + 6.75353*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d</m:t>
                      </m:r>
                    </m:sub>
                  </m:sSub>
                  <m:r>
                    <w:rPr>
                      <w:rFonts w:ascii="Cambria Math" w:hAnsi="Cambria Math"/>
                      <w:sz w:val="24"/>
                      <w:szCs w:val="24"/>
                    </w:rPr>
                    <m:t xml:space="preserve"> + 3.40025*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num>
                <m:den>
                  <m:r>
                    <w:rPr>
                      <w:rFonts w:ascii="Cambria Math" w:hAnsi="Cambria Math"/>
                      <w:sz w:val="24"/>
                      <w:szCs w:val="24"/>
                    </w:rPr>
                    <m:t>1250*T*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d</m:t>
                      </m:r>
                    </m:sub>
                  </m:sSub>
                  <m:r>
                    <w:rPr>
                      <w:rFonts w:ascii="Cambria Math" w:hAnsi="Cambria Math"/>
                      <w:sz w:val="24"/>
                      <w:szCs w:val="24"/>
                    </w:rPr>
                    <m:t xml:space="preserve"> + 303800</m:t>
                  </m:r>
                  <m:d>
                    <m:dPr>
                      <m:ctrlPr>
                        <w:rPr>
                          <w:rFonts w:ascii="Cambria Math" w:hAnsi="Cambria Math"/>
                          <w:i/>
                          <w:sz w:val="24"/>
                          <w:szCs w:val="24"/>
                        </w:rPr>
                      </m:ctrlPr>
                    </m:dPr>
                    <m:e>
                      <m:r>
                        <w:rPr>
                          <w:rFonts w:ascii="Cambria Math" w:hAnsi="Cambria Math"/>
                          <w:sz w:val="24"/>
                          <w:szCs w:val="24"/>
                        </w:rPr>
                        <m:t>T +</m:t>
                      </m:r>
                      <m:sSub>
                        <m:sSubPr>
                          <m:ctrlPr>
                            <w:rPr>
                              <w:rFonts w:ascii="Cambria Math" w:hAnsi="Cambria Math"/>
                              <w:i/>
                              <w:sz w:val="24"/>
                              <w:szCs w:val="24"/>
                            </w:rPr>
                          </m:ctrlPr>
                        </m:sSubPr>
                        <m:e>
                          <m:r>
                            <w:rPr>
                              <w:rFonts w:ascii="Cambria Math" w:hAnsi="Cambria Math"/>
                              <w:sz w:val="24"/>
                              <w:szCs w:val="24"/>
                            </w:rPr>
                            <m:t xml:space="preserve"> T</m:t>
                          </m:r>
                        </m:e>
                        <m:sub>
                          <m:r>
                            <w:rPr>
                              <w:rFonts w:ascii="Cambria Math" w:hAnsi="Cambria Math"/>
                              <w:sz w:val="24"/>
                              <w:szCs w:val="24"/>
                            </w:rPr>
                            <m:t>d</m:t>
                          </m:r>
                        </m:sub>
                      </m:sSub>
                    </m:e>
                  </m:d>
                  <m:r>
                    <w:rPr>
                      <w:rFonts w:ascii="Cambria Math" w:hAnsi="Cambria Math"/>
                      <w:sz w:val="24"/>
                      <w:szCs w:val="24"/>
                    </w:rPr>
                    <m:t xml:space="preserve"> + 73835552</m:t>
                  </m:r>
                </m:den>
              </m:f>
            </m:sup>
          </m:sSup>
          <m:r>
            <w:rPr>
              <w:rFonts w:ascii="Cambria Math" w:hAnsi="Cambria Math"/>
              <w:sz w:val="24"/>
              <w:szCs w:val="24"/>
            </w:rPr>
            <m:t xml:space="preserve">         (2)</m:t>
          </m:r>
        </m:oMath>
      </m:oMathPara>
    </w:p>
    <w:p w14:paraId="60B2833F" w14:textId="1677C222" w:rsidR="00A15725" w:rsidRPr="008F569D" w:rsidRDefault="00A15725" w:rsidP="00A15725">
      <w:pPr>
        <w:spacing w:line="480" w:lineRule="auto"/>
        <w:jc w:val="both"/>
        <w:rPr>
          <w:sz w:val="24"/>
          <w:szCs w:val="24"/>
        </w:rPr>
      </w:pPr>
      <w:r w:rsidRPr="008F569D">
        <w:rPr>
          <w:sz w:val="24"/>
          <w:szCs w:val="24"/>
        </w:rPr>
        <w:t>After web scraping and imputation, growing degree days (</w:t>
      </w:r>
      <m:oMath>
        <m:r>
          <w:rPr>
            <w:rFonts w:ascii="Cambria Math" w:hAnsi="Cambria Math"/>
            <w:sz w:val="24"/>
            <w:szCs w:val="24"/>
          </w:rPr>
          <m:t>GDD</m:t>
        </m:r>
      </m:oMath>
      <w:r w:rsidRPr="008F569D">
        <w:rPr>
          <w:sz w:val="24"/>
          <w:szCs w:val="24"/>
        </w:rPr>
        <w:t>) were calculated for all daily data points using equations from the NDAWN</w:t>
      </w:r>
      <w:r w:rsidRPr="008F569D">
        <w:rPr>
          <w:sz w:val="24"/>
          <w:szCs w:val="24"/>
        </w:rPr>
        <w:fldChar w:fldCharType="begin" w:fldLock="1"/>
      </w:r>
      <w:r w:rsidR="000767E7">
        <w:rPr>
          <w:sz w:val="24"/>
          <w:szCs w:val="24"/>
        </w:rPr>
        <w:instrText>ADDIN CSL_CITATION {"citationItems":[{"id":"ITEM-1","itemData":{"URL":"https://ndawn.ndsu.nodak.edu/help-corn-growing-degree-days.html","accessed":{"date-parts":[["2017","12","1"]]},"author":[{"dropping-particle":"","family":"North Dakota Agricultural Weather Network","given":"","non-dropping-particle":"","parse-names":false,"suffix":""}],"id":"ITEM-1","issued":{"date-parts":[["0"]]},"title":"Corn Growing Degree Days (GDD)","type":"webpage"},"uris":["http://www.mendeley.com/documents/?uuid=6938b6b8-706c-4b3a-a220-2293c8a70439"]}],"mendeley":{"formattedCitation":"(North Dakota Agricultural Weather Network)","plainTextFormattedCitation":"(North Dakota Agricultural Weather Network)","previouslyFormattedCitation":"(Network)"},"properties":{"noteIndex":0},"schema":"https://github.com/citation-style-language/schema/raw/master/csl-citation.json"}</w:instrText>
      </w:r>
      <w:r w:rsidRPr="008F569D">
        <w:rPr>
          <w:sz w:val="24"/>
          <w:szCs w:val="24"/>
        </w:rPr>
        <w:fldChar w:fldCharType="separate"/>
      </w:r>
      <w:r w:rsidR="000767E7" w:rsidRPr="000767E7">
        <w:rPr>
          <w:noProof/>
          <w:sz w:val="24"/>
          <w:szCs w:val="24"/>
        </w:rPr>
        <w:t>(North Dakota Agricultural Weather Network)</w:t>
      </w:r>
      <w:r w:rsidRPr="008F569D">
        <w:rPr>
          <w:sz w:val="24"/>
          <w:szCs w:val="24"/>
        </w:rPr>
        <w:fldChar w:fldCharType="end"/>
      </w:r>
      <w:r w:rsidRPr="008F569D">
        <w:rPr>
          <w:sz w:val="24"/>
          <w:szCs w:val="24"/>
        </w:rPr>
        <w:t xml:space="preserve">.  </w:t>
      </w:r>
      <m:oMath>
        <m:r>
          <w:rPr>
            <w:rFonts w:ascii="Cambria Math" w:hAnsi="Cambria Math"/>
            <w:sz w:val="24"/>
            <w:szCs w:val="24"/>
          </w:rPr>
          <m:t>GDD</m:t>
        </m:r>
      </m:oMath>
      <w:r w:rsidRPr="008F569D">
        <w:rPr>
          <w:sz w:val="24"/>
          <w:szCs w:val="24"/>
        </w:rPr>
        <w:t xml:space="preserve"> is a measure used to understand plant growth and development, calculated using temperature </w:t>
      </w:r>
      <w:proofErr w:type="gramStart"/>
      <w:r w:rsidRPr="008F569D">
        <w:rPr>
          <w:sz w:val="24"/>
          <w:szCs w:val="24"/>
        </w:rPr>
        <w:t>data.</w:t>
      </w:r>
      <w:proofErr w:type="gramEnd"/>
      <w:r w:rsidRPr="008F569D">
        <w:rPr>
          <w:sz w:val="24"/>
          <w:szCs w:val="24"/>
        </w:rPr>
        <w:t xml:space="preserve">  An indicator variable for rain was created with a value of zero on days when no precipitation was captured by the Spectrum Watchdog, and one otherwise. Irrigation was captured by the Spectrum watchdog weather stations in most locations.  For locations noted to not have irrigation collected by the watchdog, the amount of irrigation applied was added as precipitation for consistency amongst environments.  In 2016, irrigation values were added to the imputed weather data from IEM.</w:t>
      </w:r>
    </w:p>
    <w:p w14:paraId="3B61DEE1" w14:textId="1F76A1DB" w:rsidR="00A15725" w:rsidRPr="008F569D" w:rsidRDefault="00A15725" w:rsidP="00A15725">
      <w:pPr>
        <w:spacing w:line="480" w:lineRule="auto"/>
        <w:ind w:firstLine="720"/>
        <w:jc w:val="both"/>
        <w:rPr>
          <w:sz w:val="24"/>
          <w:szCs w:val="24"/>
        </w:rPr>
      </w:pPr>
      <w:r w:rsidRPr="008F569D">
        <w:rPr>
          <w:sz w:val="24"/>
          <w:szCs w:val="24"/>
        </w:rPr>
        <w:lastRenderedPageBreak/>
        <w:t xml:space="preserve">Solar radiation is known to follow a cyclical pattern with little to no detectable radiation activity when no light is present (i.e. night), and activity peaking around midday when the sun reaches its zenith </w:t>
      </w:r>
      <w:r w:rsidRPr="008F569D">
        <w:rPr>
          <w:sz w:val="24"/>
          <w:szCs w:val="24"/>
        </w:rPr>
        <w:fldChar w:fldCharType="begin" w:fldLock="1"/>
      </w:r>
      <w:r w:rsidR="000767E7">
        <w:rPr>
          <w:sz w:val="24"/>
          <w:szCs w:val="24"/>
        </w:rPr>
        <w:instrText>ADDIN CSL_CITATION {"citationItems":[{"id":"ITEM-1","itemData":{"DOI":"10.1201/b13898-1","ISBN":"978-1-4665-0327-4","author":[{"dropping-particle":"","family":"Myers","given":"Daryl R.","non-dropping-particle":"","parse-names":false,"suffix":""}],"chapter-number":"1 Fundamen","container-title":"Solar Radiation: Practical Modeling for Renewable Energy Applications","editor":[{"dropping-particle":"","family":"Ghassemi","given":"Abbas","non-dropping-particle":"","parse-names":false,"suffix":""}],"id":"ITEM-1","issue":"2013","issued":{"date-parts":[["2013"]]},"page":"1-13","publisher":"CRC Press","publisher-place":"Boca Raton, FL","title":"Fundamentals of Solar Radiation","type":"chapter"},"uris":["http://www.mendeley.com/documents/?uuid=f8ba5a26-136a-4b4e-967c-c607273f6616"]}],"mendeley":{"formattedCitation":"(Myers 2013)","plainTextFormattedCitation":"(Myers 2013)","previouslyFormattedCitation":"(Myers 2013)"},"properties":{"noteIndex":0},"schema":"https://github.com/citation-style-language/schema/raw/master/csl-citation.json"}</w:instrText>
      </w:r>
      <w:r w:rsidRPr="008F569D">
        <w:rPr>
          <w:sz w:val="24"/>
          <w:szCs w:val="24"/>
        </w:rPr>
        <w:fldChar w:fldCharType="separate"/>
      </w:r>
      <w:r w:rsidR="000767E7" w:rsidRPr="000767E7">
        <w:rPr>
          <w:noProof/>
          <w:sz w:val="24"/>
          <w:szCs w:val="24"/>
        </w:rPr>
        <w:t>(Myers 2013)</w:t>
      </w:r>
      <w:r w:rsidRPr="008F569D">
        <w:rPr>
          <w:sz w:val="24"/>
          <w:szCs w:val="24"/>
        </w:rPr>
        <w:fldChar w:fldCharType="end"/>
      </w:r>
      <w:r w:rsidRPr="008F569D">
        <w:rPr>
          <w:sz w:val="24"/>
          <w:szCs w:val="24"/>
        </w:rPr>
        <w:t>.  Field station data showed high radiation activity in many sites during nighttime daytime hours, indicating that the sensors likely were not functioning properly.  Data from the National Solar Radiation Database (</w:t>
      </w:r>
      <w:hyperlink r:id="rId5" w:history="1">
        <w:r w:rsidRPr="008F569D">
          <w:rPr>
            <w:rStyle w:val="Hyperlink"/>
            <w:sz w:val="24"/>
            <w:szCs w:val="24"/>
          </w:rPr>
          <w:t>https://maps.nrel.gov/nsrdb-viewer/</w:t>
        </w:r>
      </w:hyperlink>
      <w:r w:rsidRPr="008F569D">
        <w:rPr>
          <w:sz w:val="24"/>
          <w:szCs w:val="24"/>
        </w:rPr>
        <w:t>) were used to impute solar radiation for each site by accessing the data from the closest collecting station to the field.  These data were then used to estimate the mean Global Horizontal Irradiance (GHI) for each day along with the maximum GHI observed for each day.  The maximum GHI will be referred to as peak GHI hereafter.</w:t>
      </w:r>
    </w:p>
    <w:p w14:paraId="34B03328" w14:textId="7DDA0CF6" w:rsidR="00A15725" w:rsidRPr="008F569D" w:rsidRDefault="00A15725" w:rsidP="00A15725">
      <w:pPr>
        <w:spacing w:line="480" w:lineRule="auto"/>
        <w:ind w:firstLine="720"/>
        <w:jc w:val="both"/>
        <w:rPr>
          <w:sz w:val="24"/>
          <w:szCs w:val="24"/>
        </w:rPr>
      </w:pPr>
      <w:r w:rsidRPr="008F569D">
        <w:rPr>
          <w:sz w:val="24"/>
          <w:szCs w:val="24"/>
        </w:rPr>
        <w:t xml:space="preserve">Effective photoperiod was calculated using tables of sunrise and sunset times from the United States Naval Observatory under the recommended guidelines of computing the length in minutes between sunrise and sunset times and adding one hour to give effective day length </w:t>
      </w:r>
      <w:r w:rsidRPr="008F569D">
        <w:rPr>
          <w:sz w:val="24"/>
          <w:szCs w:val="24"/>
        </w:rPr>
        <w:fldChar w:fldCharType="begin" w:fldLock="1"/>
      </w:r>
      <w:r w:rsidR="000767E7">
        <w:rPr>
          <w:sz w:val="24"/>
          <w:szCs w:val="24"/>
        </w:rPr>
        <w:instrText>ADDIN CSL_CITATION {"citationItems":[{"id":"ITEM-1","itemData":{"author":[{"dropping-particle":"","family":"United States Naval Observatory","given":"","non-dropping-particle":"","parse-names":false,"suffix":""}],"id":"ITEM-1","issued":{"date-parts":[["0"]]},"title":"Sun or Moon Rise/Set Table for One Year","type":"article"},"uris":["http://www.mendeley.com/documents/?uuid=ca2741ae-de47-4290-8f5b-c6a753d05610"]}],"mendeley":{"formattedCitation":"(United States Naval Observatory)","plainTextFormattedCitation":"(United States Naval Observatory)","previouslyFormattedCitation":"(United States Naval Observatory)"},"properties":{"noteIndex":0},"schema":"https://github.com/citation-style-language/schema/raw/master/csl-citation.json"}</w:instrText>
      </w:r>
      <w:r w:rsidRPr="008F569D">
        <w:rPr>
          <w:sz w:val="24"/>
          <w:szCs w:val="24"/>
        </w:rPr>
        <w:fldChar w:fldCharType="separate"/>
      </w:r>
      <w:r w:rsidR="000767E7" w:rsidRPr="000767E7">
        <w:rPr>
          <w:noProof/>
          <w:sz w:val="24"/>
          <w:szCs w:val="24"/>
        </w:rPr>
        <w:t>(United States Naval Observatory)</w:t>
      </w:r>
      <w:r w:rsidRPr="008F569D">
        <w:rPr>
          <w:sz w:val="24"/>
          <w:szCs w:val="24"/>
        </w:rPr>
        <w:fldChar w:fldCharType="end"/>
      </w:r>
      <w:r w:rsidRPr="008F569D">
        <w:rPr>
          <w:sz w:val="24"/>
          <w:szCs w:val="24"/>
        </w:rPr>
        <w:t>.</w:t>
      </w:r>
    </w:p>
    <w:p w14:paraId="66A76211" w14:textId="5B4A0B9B" w:rsidR="00A15725" w:rsidRDefault="00A15725" w:rsidP="00A15725">
      <w:pPr>
        <w:spacing w:line="480" w:lineRule="auto"/>
        <w:ind w:firstLine="720"/>
        <w:jc w:val="both"/>
        <w:rPr>
          <w:sz w:val="24"/>
          <w:szCs w:val="24"/>
        </w:rPr>
      </w:pPr>
      <w:r w:rsidRPr="008F569D">
        <w:rPr>
          <w:sz w:val="24"/>
          <w:szCs w:val="24"/>
        </w:rPr>
        <w:t xml:space="preserve">Field soil samples were taken during the 2016 field season, but no soil sample measurements existed for the 2014 or 2015 seasons.  For 2016, we took the soil composition measurements (sand, silt, clay percentages) for locations where information was available. For locations where no such information was available, data from the USDA Natural Resources Conservation Services Web Soil Survey </w:t>
      </w:r>
      <w:r w:rsidRPr="008F569D">
        <w:rPr>
          <w:sz w:val="24"/>
          <w:szCs w:val="24"/>
        </w:rPr>
        <w:fldChar w:fldCharType="begin" w:fldLock="1"/>
      </w:r>
      <w:r w:rsidR="000767E7">
        <w:rPr>
          <w:sz w:val="24"/>
          <w:szCs w:val="24"/>
        </w:rPr>
        <w:instrText>ADDIN CSL_CITATION {"citationItems":[{"id":"ITEM-1","itemData":{"URL":"https://websoilsurvey.sc.egov.usda.gov/App/WebSoilSurvey.aspx","accessed":{"date-parts":[["2011","8","20"]]},"author":[{"dropping-particle":"","family":"United States Department of Agriculture","given":"","non-dropping-particle":"","parse-names":false,"suffix":""}],"id":"ITEM-1","issued":{"date-parts":[["0"]]},"title":"Natural Resources Conservation Service: Web Soil Survey","type":"webpage"},"uris":["http://www.mendeley.com/documents/?uuid=8371798f-e4b7-4194-85c9-72e1303bc4a9","http://www.mendeley.com/documents/?uuid=3a0e921f-37ff-4505-a4ce-57f87f5c8973"]}],"mendeley":{"formattedCitation":"(United States Department of Agriculture)","plainTextFormattedCitation":"(United States Department of Agriculture)","previouslyFormattedCitation":"(United States Department of Agriculture)"},"properties":{"noteIndex":0},"schema":"https://github.com/citation-style-language/schema/raw/master/csl-citation.json"}</w:instrText>
      </w:r>
      <w:r w:rsidRPr="008F569D">
        <w:rPr>
          <w:sz w:val="24"/>
          <w:szCs w:val="24"/>
        </w:rPr>
        <w:fldChar w:fldCharType="separate"/>
      </w:r>
      <w:r w:rsidR="000767E7" w:rsidRPr="000767E7">
        <w:rPr>
          <w:noProof/>
          <w:sz w:val="24"/>
          <w:szCs w:val="24"/>
        </w:rPr>
        <w:t>(United States Department of Agriculture)</w:t>
      </w:r>
      <w:r w:rsidRPr="008F569D">
        <w:rPr>
          <w:sz w:val="24"/>
          <w:szCs w:val="24"/>
        </w:rPr>
        <w:fldChar w:fldCharType="end"/>
      </w:r>
      <w:r w:rsidRPr="008F569D">
        <w:rPr>
          <w:sz w:val="24"/>
          <w:szCs w:val="24"/>
        </w:rPr>
        <w:t xml:space="preserve"> was used to impute soil type.  For imputation, web soil survey soil types and percentages were recorded and used to compute approximate soil composition values for sand silt and clay in R (</w:t>
      </w:r>
      <w:r w:rsidRPr="00850159">
        <w:rPr>
          <w:bCs/>
          <w:sz w:val="24"/>
          <w:szCs w:val="24"/>
        </w:rPr>
        <w:t>File S</w:t>
      </w:r>
      <w:r w:rsidR="00367978">
        <w:rPr>
          <w:bCs/>
          <w:sz w:val="24"/>
          <w:szCs w:val="24"/>
        </w:rPr>
        <w:t>16</w:t>
      </w:r>
      <w:r w:rsidRPr="008F569D">
        <w:rPr>
          <w:sz w:val="24"/>
          <w:szCs w:val="24"/>
        </w:rPr>
        <w:t xml:space="preserve">). </w:t>
      </w:r>
    </w:p>
    <w:p w14:paraId="3E6A0C87" w14:textId="46EDD448" w:rsidR="00A15725" w:rsidRPr="008F569D" w:rsidRDefault="00A15725" w:rsidP="00A15725">
      <w:pPr>
        <w:spacing w:line="480" w:lineRule="auto"/>
        <w:ind w:firstLine="720"/>
        <w:jc w:val="both"/>
        <w:rPr>
          <w:sz w:val="24"/>
          <w:szCs w:val="24"/>
        </w:rPr>
      </w:pPr>
      <w:r w:rsidRPr="008F569D">
        <w:rPr>
          <w:sz w:val="24"/>
          <w:szCs w:val="24"/>
        </w:rPr>
        <w:lastRenderedPageBreak/>
        <w:t>Daily weather data for each year was processed in R using a custom sliding window function (</w:t>
      </w:r>
      <w:r w:rsidRPr="00850159">
        <w:rPr>
          <w:bCs/>
          <w:sz w:val="24"/>
          <w:szCs w:val="24"/>
        </w:rPr>
        <w:t xml:space="preserve">File </w:t>
      </w:r>
      <w:r w:rsidR="002E7337" w:rsidRPr="00850159">
        <w:rPr>
          <w:bCs/>
          <w:sz w:val="24"/>
          <w:szCs w:val="24"/>
        </w:rPr>
        <w:t>S</w:t>
      </w:r>
      <w:r w:rsidR="002E7337">
        <w:rPr>
          <w:bCs/>
          <w:sz w:val="24"/>
          <w:szCs w:val="24"/>
        </w:rPr>
        <w:t>16</w:t>
      </w:r>
      <w:r w:rsidRPr="008F569D">
        <w:rPr>
          <w:sz w:val="24"/>
          <w:szCs w:val="24"/>
        </w:rPr>
        <w:t>) to reduce dimensionality into multiple datasets with resolution ranging between five-day and 30-day periods.  The mean values for each variable were averaged over days within each window. All three years of periodic mean weather data from all years were then combined into a common data set that was centered and scaled by variable prior to analysis</w:t>
      </w:r>
      <w:r>
        <w:rPr>
          <w:sz w:val="24"/>
          <w:szCs w:val="24"/>
        </w:rPr>
        <w:t xml:space="preserve"> (File S</w:t>
      </w:r>
      <w:r w:rsidR="002E7337">
        <w:rPr>
          <w:sz w:val="24"/>
          <w:szCs w:val="24"/>
        </w:rPr>
        <w:t>18</w:t>
      </w:r>
      <w:r>
        <w:rPr>
          <w:sz w:val="24"/>
          <w:szCs w:val="24"/>
        </w:rPr>
        <w:t>)</w:t>
      </w:r>
      <w:r w:rsidRPr="008F569D">
        <w:rPr>
          <w:sz w:val="24"/>
          <w:szCs w:val="24"/>
        </w:rPr>
        <w:t>.</w:t>
      </w:r>
    </w:p>
    <w:p w14:paraId="4ED8806D" w14:textId="3240AA14" w:rsidR="00816328" w:rsidRDefault="00816328"/>
    <w:p w14:paraId="75C99F39" w14:textId="3C61D1F4" w:rsidR="00A15725" w:rsidRDefault="00A15725">
      <w:r>
        <w:t>Citations</w:t>
      </w:r>
    </w:p>
    <w:p w14:paraId="680EF530" w14:textId="482F6F47" w:rsidR="000767E7" w:rsidRPr="000767E7" w:rsidRDefault="00A15725" w:rsidP="000767E7">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0767E7" w:rsidRPr="000767E7">
        <w:rPr>
          <w:rFonts w:ascii="Calibri" w:hAnsi="Calibri" w:cs="Calibri"/>
          <w:noProof/>
          <w:szCs w:val="24"/>
        </w:rPr>
        <w:t xml:space="preserve">Bradbury, P. J., Z. Zhang, D. E. Kroon, T. M. Casstevens, Y. Ramdoss </w:t>
      </w:r>
      <w:r w:rsidR="000767E7" w:rsidRPr="000767E7">
        <w:rPr>
          <w:rFonts w:ascii="Calibri" w:hAnsi="Calibri" w:cs="Calibri"/>
          <w:i/>
          <w:iCs/>
          <w:noProof/>
          <w:szCs w:val="24"/>
        </w:rPr>
        <w:t>et al.</w:t>
      </w:r>
      <w:r w:rsidR="000767E7" w:rsidRPr="000767E7">
        <w:rPr>
          <w:rFonts w:ascii="Calibri" w:hAnsi="Calibri" w:cs="Calibri"/>
          <w:noProof/>
          <w:szCs w:val="24"/>
        </w:rPr>
        <w:t>, 2007 TASSEL: Software for association mapping of complex traits in diverse samples. Bioinformatics 23: 2633–2635.</w:t>
      </w:r>
    </w:p>
    <w:p w14:paraId="20E126E1"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Cyverse www.cyverse.org.</w:t>
      </w:r>
    </w:p>
    <w:p w14:paraId="789D438D"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 xml:space="preserve">Elshire, R. J., J. C. Glaubitz, Q. Sun, J. A. Poland, K. Kawamoto </w:t>
      </w:r>
      <w:r w:rsidRPr="000767E7">
        <w:rPr>
          <w:rFonts w:ascii="Calibri" w:hAnsi="Calibri" w:cs="Calibri"/>
          <w:i/>
          <w:iCs/>
          <w:noProof/>
          <w:szCs w:val="24"/>
        </w:rPr>
        <w:t>et al.</w:t>
      </w:r>
      <w:r w:rsidRPr="000767E7">
        <w:rPr>
          <w:rFonts w:ascii="Calibri" w:hAnsi="Calibri" w:cs="Calibri"/>
          <w:noProof/>
          <w:szCs w:val="24"/>
        </w:rPr>
        <w:t>, 2011 A Robust , Simple Genotyping-by-Sequencing ( GBS ) Approach for High Diversity Species. PLoS One 6: 1–10.</w:t>
      </w:r>
    </w:p>
    <w:p w14:paraId="443572CE"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Endelman, J. B., and J. Jannink, 2012 Shrinkage Estimation of the Realized Relationship Matrix. G3 Genes, Genomes, Genet. 2: 1405–1413.</w:t>
      </w:r>
    </w:p>
    <w:p w14:paraId="518228F8"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 xml:space="preserve">Glaubitz, J. C., T. M. Casstevens, F. Lu, J. Harriman, R. J. Elshire </w:t>
      </w:r>
      <w:r w:rsidRPr="000767E7">
        <w:rPr>
          <w:rFonts w:ascii="Calibri" w:hAnsi="Calibri" w:cs="Calibri"/>
          <w:i/>
          <w:iCs/>
          <w:noProof/>
          <w:szCs w:val="24"/>
        </w:rPr>
        <w:t>et al.</w:t>
      </w:r>
      <w:r w:rsidRPr="000767E7">
        <w:rPr>
          <w:rFonts w:ascii="Calibri" w:hAnsi="Calibri" w:cs="Calibri"/>
          <w:noProof/>
          <w:szCs w:val="24"/>
        </w:rPr>
        <w:t>, 2014 TASSEL-GBS : A High Capacity Genotyping by Sequencing Analysis Pipeline. PLoS One 9:.</w:t>
      </w:r>
    </w:p>
    <w:p w14:paraId="096A8DA9"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Iowa Environmental Mesonet, 2019.</w:t>
      </w:r>
    </w:p>
    <w:p w14:paraId="57C93E85"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Lawrence, M. G., 2005 The relationship between relative humidity and the dewpoint temperature in moist air: A simple conversion and applications. Bull. Am. Meteorol. Soc. 86: 225–233.</w:t>
      </w:r>
    </w:p>
    <w:p w14:paraId="5E706203"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 xml:space="preserve">Money, D., K. Gardner, Z. Migicovsky, H. Schwaninger, G.-Y. Zhong </w:t>
      </w:r>
      <w:r w:rsidRPr="000767E7">
        <w:rPr>
          <w:rFonts w:ascii="Calibri" w:hAnsi="Calibri" w:cs="Calibri"/>
          <w:i/>
          <w:iCs/>
          <w:noProof/>
          <w:szCs w:val="24"/>
        </w:rPr>
        <w:t>et al.</w:t>
      </w:r>
      <w:r w:rsidRPr="000767E7">
        <w:rPr>
          <w:rFonts w:ascii="Calibri" w:hAnsi="Calibri" w:cs="Calibri"/>
          <w:noProof/>
          <w:szCs w:val="24"/>
        </w:rPr>
        <w:t>, 2015 LinkImpute: Fast and Accurate Genotype Imputation for Nonmodel Organisms. G3 Genes, Genomes, Genet. 5: 2383–2390.</w:t>
      </w:r>
    </w:p>
    <w:p w14:paraId="186CE3EF"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 xml:space="preserve">Muñoz, P. R., M. F. R. Resende, S. A. Gezan, M. Deon Vielela Resende, G. de los Campos </w:t>
      </w:r>
      <w:r w:rsidRPr="000767E7">
        <w:rPr>
          <w:rFonts w:ascii="Calibri" w:hAnsi="Calibri" w:cs="Calibri"/>
          <w:i/>
          <w:iCs/>
          <w:noProof/>
          <w:szCs w:val="24"/>
        </w:rPr>
        <w:t>et al.</w:t>
      </w:r>
      <w:r w:rsidRPr="000767E7">
        <w:rPr>
          <w:rFonts w:ascii="Calibri" w:hAnsi="Calibri" w:cs="Calibri"/>
          <w:noProof/>
          <w:szCs w:val="24"/>
        </w:rPr>
        <w:t>, 2014 Unraveling Additive from Nonadditive Effects Using Genomic Relationship Matrices. Genetics 198: 1759–1768.</w:t>
      </w:r>
    </w:p>
    <w:p w14:paraId="24710F4F"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 xml:space="preserve">Myers, D. R., 2013 Fundamentals of Solar Radiation, pp. 1–13 in </w:t>
      </w:r>
      <w:r w:rsidRPr="000767E7">
        <w:rPr>
          <w:rFonts w:ascii="Calibri" w:hAnsi="Calibri" w:cs="Calibri"/>
          <w:i/>
          <w:iCs/>
          <w:noProof/>
          <w:szCs w:val="24"/>
        </w:rPr>
        <w:t>Solar Radiation: Practical Modeling for Renewable Energy Applications</w:t>
      </w:r>
      <w:r w:rsidRPr="000767E7">
        <w:rPr>
          <w:rFonts w:ascii="Calibri" w:hAnsi="Calibri" w:cs="Calibri"/>
          <w:noProof/>
          <w:szCs w:val="24"/>
        </w:rPr>
        <w:t>, edited by A. Ghassemi. CRC Press, Boca Raton, FL.</w:t>
      </w:r>
    </w:p>
    <w:p w14:paraId="2065081E"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North Dakota Agricultural Weather Network Corn Growing Degree Days (GDD).</w:t>
      </w:r>
    </w:p>
    <w:p w14:paraId="5EF52623"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 xml:space="preserve">Peiffer, J. A., M. C. Romay, M. A. Gore, S. A. Flint-Garcia, Z. Zhang </w:t>
      </w:r>
      <w:r w:rsidRPr="000767E7">
        <w:rPr>
          <w:rFonts w:ascii="Calibri" w:hAnsi="Calibri" w:cs="Calibri"/>
          <w:i/>
          <w:iCs/>
          <w:noProof/>
          <w:szCs w:val="24"/>
        </w:rPr>
        <w:t>et al.</w:t>
      </w:r>
      <w:r w:rsidRPr="000767E7">
        <w:rPr>
          <w:rFonts w:ascii="Calibri" w:hAnsi="Calibri" w:cs="Calibri"/>
          <w:noProof/>
          <w:szCs w:val="24"/>
        </w:rPr>
        <w:t>, 2014 The genetic architecture of maize height. Genetics 196: 1337–1356.</w:t>
      </w:r>
    </w:p>
    <w:p w14:paraId="7DC4F23D"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R Core Team R: A language and environment for statistical computing.</w:t>
      </w:r>
    </w:p>
    <w:p w14:paraId="078E1316"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lastRenderedPageBreak/>
        <w:t xml:space="preserve">Romay, M. C., M. J. Millard, J. C. Glaubitz, J. A. Peiffer, K. L. Swarts </w:t>
      </w:r>
      <w:r w:rsidRPr="000767E7">
        <w:rPr>
          <w:rFonts w:ascii="Calibri" w:hAnsi="Calibri" w:cs="Calibri"/>
          <w:i/>
          <w:iCs/>
          <w:noProof/>
          <w:szCs w:val="24"/>
        </w:rPr>
        <w:t>et al.</w:t>
      </w:r>
      <w:r w:rsidRPr="000767E7">
        <w:rPr>
          <w:rFonts w:ascii="Calibri" w:hAnsi="Calibri" w:cs="Calibri"/>
          <w:noProof/>
          <w:szCs w:val="24"/>
        </w:rPr>
        <w:t>, 2013 Comprehensive genotyping of the USA national maize inbred seed bank. Genome Biol. 14: R55.</w:t>
      </w:r>
    </w:p>
    <w:p w14:paraId="707EEF75"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The Genomes to Fields (G2F) Initiative.</w:t>
      </w:r>
    </w:p>
    <w:p w14:paraId="50B54BBF"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United States Department of Agriculture Natural Resources Conservation Service: Web Soil Survey.</w:t>
      </w:r>
    </w:p>
    <w:p w14:paraId="5627BC1F"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United States Naval Observatory Sun or Moon Rise/Set Table for One Year.</w:t>
      </w:r>
    </w:p>
    <w:p w14:paraId="4D68D404"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szCs w:val="24"/>
        </w:rPr>
      </w:pPr>
      <w:r w:rsidRPr="000767E7">
        <w:rPr>
          <w:rFonts w:ascii="Calibri" w:hAnsi="Calibri" w:cs="Calibri"/>
          <w:noProof/>
          <w:szCs w:val="24"/>
        </w:rPr>
        <w:t>Ward, J. H. J. ., 1963 Hierarchical Grouping to Optimize an Objective Function. J. Am. Stat. Assoc. 58: 236–244.</w:t>
      </w:r>
    </w:p>
    <w:p w14:paraId="499A86BA" w14:textId="77777777" w:rsidR="000767E7" w:rsidRPr="000767E7" w:rsidRDefault="000767E7" w:rsidP="000767E7">
      <w:pPr>
        <w:widowControl w:val="0"/>
        <w:autoSpaceDE w:val="0"/>
        <w:autoSpaceDN w:val="0"/>
        <w:adjustRightInd w:val="0"/>
        <w:spacing w:line="240" w:lineRule="auto"/>
        <w:ind w:left="480" w:hanging="480"/>
        <w:rPr>
          <w:rFonts w:ascii="Calibri" w:hAnsi="Calibri" w:cs="Calibri"/>
          <w:noProof/>
        </w:rPr>
      </w:pPr>
      <w:r w:rsidRPr="000767E7">
        <w:rPr>
          <w:rFonts w:ascii="Calibri" w:hAnsi="Calibri" w:cs="Calibri"/>
          <w:noProof/>
          <w:szCs w:val="24"/>
        </w:rPr>
        <w:t>Weather Underground.</w:t>
      </w:r>
    </w:p>
    <w:p w14:paraId="0FC0547C" w14:textId="06EB5F87" w:rsidR="00A15725" w:rsidRDefault="00A15725">
      <w:r>
        <w:fldChar w:fldCharType="end"/>
      </w:r>
    </w:p>
    <w:sectPr w:rsidR="00A15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25"/>
    <w:rsid w:val="000767E7"/>
    <w:rsid w:val="002E7337"/>
    <w:rsid w:val="00367978"/>
    <w:rsid w:val="00397B99"/>
    <w:rsid w:val="005445FC"/>
    <w:rsid w:val="00816328"/>
    <w:rsid w:val="008321A3"/>
    <w:rsid w:val="009D5FB4"/>
    <w:rsid w:val="00A15725"/>
    <w:rsid w:val="00AB6559"/>
    <w:rsid w:val="00C204F0"/>
    <w:rsid w:val="00D5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169A"/>
  <w15:chartTrackingRefBased/>
  <w15:docId w15:val="{6B582B44-78A9-46FB-8363-7D8BDAED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7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7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25"/>
    <w:rPr>
      <w:rFonts w:ascii="Segoe UI" w:hAnsi="Segoe UI" w:cs="Segoe UI"/>
      <w:sz w:val="18"/>
      <w:szCs w:val="18"/>
    </w:rPr>
  </w:style>
  <w:style w:type="character" w:customStyle="1" w:styleId="Heading3Char">
    <w:name w:val="Heading 3 Char"/>
    <w:basedOn w:val="DefaultParagraphFont"/>
    <w:link w:val="Heading3"/>
    <w:uiPriority w:val="9"/>
    <w:rsid w:val="00A1572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15725"/>
    <w:rPr>
      <w:color w:val="0563C1" w:themeColor="hyperlink"/>
      <w:u w:val="single"/>
    </w:rPr>
  </w:style>
  <w:style w:type="character" w:customStyle="1" w:styleId="qv3wpe">
    <w:name w:val="qv3wpe"/>
    <w:basedOn w:val="DefaultParagraphFont"/>
    <w:rsid w:val="00A15725"/>
  </w:style>
  <w:style w:type="character" w:customStyle="1" w:styleId="Heading2Char">
    <w:name w:val="Heading 2 Char"/>
    <w:basedOn w:val="DefaultParagraphFont"/>
    <w:link w:val="Heading2"/>
    <w:uiPriority w:val="9"/>
    <w:rsid w:val="00A1572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1572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767E7"/>
    <w:rPr>
      <w:sz w:val="16"/>
      <w:szCs w:val="16"/>
    </w:rPr>
  </w:style>
  <w:style w:type="paragraph" w:styleId="CommentText">
    <w:name w:val="annotation text"/>
    <w:basedOn w:val="Normal"/>
    <w:link w:val="CommentTextChar"/>
    <w:uiPriority w:val="99"/>
    <w:semiHidden/>
    <w:unhideWhenUsed/>
    <w:rsid w:val="000767E7"/>
    <w:pPr>
      <w:spacing w:line="240" w:lineRule="auto"/>
    </w:pPr>
    <w:rPr>
      <w:sz w:val="20"/>
      <w:szCs w:val="20"/>
    </w:rPr>
  </w:style>
  <w:style w:type="character" w:customStyle="1" w:styleId="CommentTextChar">
    <w:name w:val="Comment Text Char"/>
    <w:basedOn w:val="DefaultParagraphFont"/>
    <w:link w:val="CommentText"/>
    <w:uiPriority w:val="99"/>
    <w:semiHidden/>
    <w:rsid w:val="000767E7"/>
    <w:rPr>
      <w:sz w:val="20"/>
      <w:szCs w:val="20"/>
    </w:rPr>
  </w:style>
  <w:style w:type="paragraph" w:styleId="CommentSubject">
    <w:name w:val="annotation subject"/>
    <w:basedOn w:val="CommentText"/>
    <w:next w:val="CommentText"/>
    <w:link w:val="CommentSubjectChar"/>
    <w:uiPriority w:val="99"/>
    <w:semiHidden/>
    <w:unhideWhenUsed/>
    <w:rsid w:val="000767E7"/>
    <w:rPr>
      <w:b/>
      <w:bCs/>
    </w:rPr>
  </w:style>
  <w:style w:type="character" w:customStyle="1" w:styleId="CommentSubjectChar">
    <w:name w:val="Comment Subject Char"/>
    <w:basedOn w:val="CommentTextChar"/>
    <w:link w:val="CommentSubject"/>
    <w:uiPriority w:val="99"/>
    <w:semiHidden/>
    <w:rsid w:val="000767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aps.nrel.gov/nsrdb-view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1B7C-993A-4A12-9DB7-4D051EA9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8600</Words>
  <Characters>49026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Rogers</dc:creator>
  <cp:keywords/>
  <dc:description/>
  <cp:lastModifiedBy>Holland, Jim</cp:lastModifiedBy>
  <cp:revision>11</cp:revision>
  <dcterms:created xsi:type="dcterms:W3CDTF">2020-06-19T01:53:00Z</dcterms:created>
  <dcterms:modified xsi:type="dcterms:W3CDTF">2020-06-22T18:30:00Z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http://www.zotero.org/styles/g3</vt:lpwstr>
  </property>
  <property fmtid="{D5CDD505-2E9C-101B-9397-08002B2CF9AE}" pid="13" name="Mendeley Recent Style Name 5_1">
    <vt:lpwstr>G3: Genes, Genomes, Genetics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7b2aac0c-7a64-380f-827a-8c0619b52ded</vt:lpwstr>
  </property>
  <property fmtid="{D5CDD505-2E9C-101B-9397-08002B2CF9AE}" pid="24" name="Mendeley Citation Style_1">
    <vt:lpwstr>http://www.zotero.org/styles/g3</vt:lpwstr>
  </property>
</Properties>
</file>