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Supplemental Figure Legends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S1. Generation of the </w:t>
      </w:r>
      <w:r w:rsidRPr="003312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sno1-nonsense 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point mutant using negative selection.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65A6F" w:rsidRDefault="00744A26" w:rsidP="00744A26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Schematic representation of generating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sno1-nonsense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point mutant.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was replaced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with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URA3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selectable marker PCR amplified from the plasmid pRS316 </w:t>
      </w:r>
      <w:r>
        <w:rPr>
          <w:rFonts w:ascii="Times New Roman" w:hAnsi="Times New Roman" w:cs="Times New Roman"/>
          <w:color w:val="000000"/>
          <w:sz w:val="24"/>
          <w:szCs w:val="24"/>
        </w:rPr>
        <w:t>containing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80 base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pair homology up and down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stream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(shown in red and blue, respectively). Following selection on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Ura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- dropout plates and subsequent PCR genotyping, we performed a transformation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:URA3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mutant using a PCR product containing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sno1-nonsense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ORF from plasmid MG010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 same 80 base pair homology sequence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Schematic adapted from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</w:rPr>
        <w:instrText>ADDIN CSL_CITATION {"citationItems":[{"id":"ITEM-1","itemData":{"DOI":"10.1016/j.femsle.2005.05.018","ISSN":"03781097","author":[{"dropping-particle":"","family":"Gray","given":"Misa","non-dropping-particle":"","parse-names":false,"suffix":""},{"dropping-particle":"","family":"Piccirillo","given":"Sarah","non-dropping-particle":"","parse-names":false,"suffix":""},{"dropping-particle":"","family":"Honigberg","given":"Saul M.","non-dropping-particle":"","parse-names":false,"suffix":""}],"container-title":"FEMS Microbiology Letters","id":"ITEM-1","issue":"1","issued":{"date-parts":[["2005","7","1"]]},"page":"31-36","publisher":"Narnia","title":"Two-step method for constructing unmarked insertions, deletions and allele substitutions in the yeast genome","type":"article-journal","volume":"248"},"uris":["http://www.mendeley.com/documents/?uuid=7ec820ed-a10e-39ee-89b6-f2c6d930092d"]}],"mendeley":{"formattedCitation":"(Gray &lt;i&gt;et al.&lt;/i&gt; 2005)","plainTextFormattedCitation":"(Gray et al. 2005)","previouslyFormattedCitation":"(Gray &lt;i&gt;et al.&lt;/i&gt; 2005)"},"properties":{"noteIndex":0},"schema":"https://github.com/citation-style-language/schema/raw/master/csl-citation.json"}</w:instrTex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65A6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(Gray </w:t>
      </w:r>
      <w:r w:rsidRPr="00365A6F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et al.</w:t>
      </w:r>
      <w:r w:rsidRPr="00365A6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2005)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Pr="00365A6F" w:rsidRDefault="00744A26" w:rsidP="00744A26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Sanger sequencing results from PCR products amplifying a portion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genomic DNA extracted from two independent isolates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sno1-nonsense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point mutation (Colony 1 and 3) aligned using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Benchling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software to the MG010 plasmid sequence. The DNA sequencing primer used was MRG420. The sequencing window was cropped to an area including the site of the nonsense mutation (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Cys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84, shown as a yellow codon arrow marked with a “*”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highlighted in the template sequence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), as well as 15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baepairs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of sequencing reads up and downstream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this TGA stop codon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Pr="00365A6F" w:rsidRDefault="00744A26" w:rsidP="00744A26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assay CIN rate measurements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Kan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sno1∆::URA3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strain. 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S2.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KanMX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gene orientation affects CIN at the </w:t>
      </w:r>
      <w:r w:rsidRPr="00C47123">
        <w:rPr>
          <w:rFonts w:ascii="Times New Roman" w:hAnsi="Times New Roman" w:cs="Times New Roman"/>
          <w:b/>
          <w:i/>
          <w:color w:val="000000"/>
          <w:sz w:val="24"/>
          <w:szCs w:val="24"/>
        </w:rPr>
        <w:t>SNO1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locus, but not at the </w:t>
      </w:r>
      <w:r w:rsidRPr="00C47123">
        <w:rPr>
          <w:rFonts w:ascii="Times New Roman" w:hAnsi="Times New Roman" w:cs="Times New Roman"/>
          <w:b/>
          <w:i/>
          <w:color w:val="000000"/>
          <w:sz w:val="24"/>
          <w:szCs w:val="24"/>
        </w:rPr>
        <w:t>CSM3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locus. 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65A6F" w:rsidRDefault="00744A26" w:rsidP="00744A2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assay CIN rate measurements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sno1∆6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and two independent isolates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sno1∆6-Watson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strain (“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sno1∆6W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”).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test.</w:t>
      </w:r>
    </w:p>
    <w:p w:rsidR="00744A26" w:rsidRPr="00571717" w:rsidRDefault="00744A26" w:rsidP="00744A2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assay CIN rate measurements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csm3∆-Watson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(“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csm3∆W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”) and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csm3∆-Crick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strain (“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csm3∆C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”).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test.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S3. Analysis of </w:t>
      </w:r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</w:rPr>
        <w:t>CTF13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mRNA abundance and length in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KanMX</w:t>
      </w:r>
      <w:proofErr w:type="spellEnd"/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insertion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mutants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the presence and absence of NMD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44A26" w:rsidRDefault="00744A26" w:rsidP="00744A2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analysis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levels expressed as fold changes performed on control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strains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primer set (set #1, see Supplemental Table S3). Six independent replicates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were performed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each including technical triplicates. Each values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is normalized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to the level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ACT1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mRNA. Technical triplicates are averaged and pooled together and standard deviation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is calculated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for means of the independent strains.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test.</w:t>
      </w:r>
    </w:p>
    <w:p w:rsidR="00744A26" w:rsidRPr="00400D83" w:rsidRDefault="00744A26" w:rsidP="00744A2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analysis (as described in section A)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levels expressed as fold changes performed on a wild-type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 and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sno1∆::URA3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primer set (set #3). </w:t>
      </w:r>
    </w:p>
    <w:p w:rsidR="00744A26" w:rsidRPr="00365A6F" w:rsidRDefault="00744A26" w:rsidP="00744A2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qPCR analysis (as described in section A)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levels expressed as fold changes performed on wild-type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, sno1∆6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sno1∆6/upf1∆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strains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primer set (set #3). </w:t>
      </w:r>
    </w:p>
    <w:p w:rsidR="00744A26" w:rsidRPr="00E64359" w:rsidRDefault="00744A26" w:rsidP="00744A2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analysis of the relative abundance of </w:t>
      </w:r>
      <w:r w:rsidRPr="00400D83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mRNA in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upf1∆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single mutant compared to a control strain.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Only one independent isolate for each strain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was used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in this experiment and the standard deviation is measured from the technical triplicates.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This result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validated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 same cDNA samples with two </w:t>
      </w:r>
      <w:r w:rsidRPr="00B37A06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primer sets (#1 and #3).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26" w:rsidRDefault="00744A26" w:rsidP="00744A2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>
        <w:rPr>
          <w:rFonts w:ascii="Times New Roman" w:hAnsi="Times New Roman" w:cs="Times New Roman"/>
          <w:color w:val="000000"/>
          <w:sz w:val="24"/>
          <w:szCs w:val="24"/>
        </w:rPr>
        <w:t>say CIN rate measurements of control,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sno1∆2,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sno1∆3,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29D3">
        <w:rPr>
          <w:rFonts w:ascii="Times New Roman" w:hAnsi="Times New Roman" w:cs="Times New Roman"/>
          <w:color w:val="000000"/>
          <w:sz w:val="24"/>
          <w:szCs w:val="24"/>
        </w:rPr>
        <w:t xml:space="preserve">strains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in the presenc</w:t>
      </w:r>
      <w:r>
        <w:rPr>
          <w:rFonts w:ascii="Times New Roman" w:hAnsi="Times New Roman" w:cs="Times New Roman"/>
          <w:color w:val="000000"/>
          <w:sz w:val="24"/>
          <w:szCs w:val="24"/>
        </w:rPr>
        <w:t>e and absence of functional NMD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test.</w:t>
      </w:r>
    </w:p>
    <w:p w:rsidR="00744A26" w:rsidRPr="007526B6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S4. </w:t>
      </w:r>
      <w:r w:rsidRPr="00CE2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Poly-adenylated </w:t>
      </w:r>
      <w:r w:rsidRPr="00CE2D35">
        <w:rPr>
          <w:rFonts w:ascii="Times New Roman" w:hAnsi="Times New Roman" w:cs="Times New Roman"/>
          <w:b/>
          <w:i/>
          <w:color w:val="000000"/>
          <w:sz w:val="24"/>
          <w:szCs w:val="24"/>
        </w:rPr>
        <w:t>CTF13</w:t>
      </w:r>
      <w:r w:rsidRPr="00CE2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mRNA suppresses CIN in the </w:t>
      </w:r>
      <w:r w:rsidRPr="00CE2D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sno1∆6 </w:t>
      </w:r>
      <w:r w:rsidRPr="00CE2D35">
        <w:rPr>
          <w:rFonts w:ascii="Times New Roman" w:hAnsi="Times New Roman" w:cs="Times New Roman"/>
          <w:b/>
          <w:color w:val="000000"/>
          <w:sz w:val="24"/>
          <w:szCs w:val="24"/>
        </w:rPr>
        <w:t>mutant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44A26" w:rsidRDefault="00744A26" w:rsidP="00744A26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Graphical representation of the genotype of the </w:t>
      </w:r>
      <w:r w:rsidRPr="00400D83">
        <w:rPr>
          <w:rFonts w:ascii="Times New Roman" w:hAnsi="Times New Roman" w:cs="Times New Roman"/>
          <w:i/>
          <w:color w:val="000000"/>
          <w:sz w:val="24"/>
          <w:szCs w:val="24"/>
        </w:rPr>
        <w:t>CTF13-T</w:t>
      </w:r>
      <w:r w:rsidRPr="00400D83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 generated using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Benchling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software. </w:t>
      </w:r>
      <w:r w:rsidRPr="00B61DE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61DE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(grey box) is inserted at genomic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coodinate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DE6">
        <w:rPr>
          <w:rFonts w:ascii="Times New Roman" w:hAnsi="Times New Roman" w:cs="Times New Roman"/>
          <w:color w:val="000000"/>
          <w:sz w:val="24"/>
          <w:szCs w:val="24"/>
        </w:rPr>
        <w:t>chrXIII</w:t>
      </w:r>
      <w:proofErr w:type="gramStart"/>
      <w:r w:rsidRPr="00B61DE6">
        <w:rPr>
          <w:rFonts w:ascii="Times New Roman" w:hAnsi="Times New Roman" w:cs="Times New Roman"/>
          <w:color w:val="000000"/>
          <w:sz w:val="24"/>
          <w:szCs w:val="24"/>
        </w:rPr>
        <w:t>:457284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the intergenic region between the stop codons of </w:t>
      </w:r>
      <w:r w:rsidRPr="00400D83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ORF (Purple box shows last 5 codons) and </w:t>
      </w:r>
      <w:r w:rsidRPr="00400D83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ORF (Blue box shows last 6 codons). DNA sequence alignment is from a single colony generated via negative selection. The DNA sequencing primer used was MRG316. </w:t>
      </w:r>
    </w:p>
    <w:p w:rsidR="00744A26" w:rsidRPr="00365A6F" w:rsidRDefault="00744A26" w:rsidP="00744A26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Sanger sequencing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3’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product for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in the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 trimmed to a 103 base pair window to confirm the presence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tail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The putative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tail signal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is shown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underlined in black. </w:t>
      </w:r>
    </w:p>
    <w:p w:rsidR="00744A26" w:rsidRDefault="00744A26" w:rsidP="00744A26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analysis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levels expressed as fold changes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performed on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wild-type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(WT),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strain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primer set (set #3). Each values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is normalized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to the level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ACT1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mRNA.</w:t>
      </w:r>
    </w:p>
    <w:p w:rsidR="00744A26" w:rsidRDefault="00744A26" w:rsidP="00744A26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assay measuring CIN rates of the WT,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B61DE6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strain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test.</w:t>
      </w:r>
    </w:p>
    <w:p w:rsidR="00744A26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Figure S5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Sanger sequence read for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complete </w:t>
      </w:r>
      <w:r w:rsidRPr="00331205">
        <w:rPr>
          <w:rFonts w:ascii="Times New Roman" w:hAnsi="Times New Roman" w:cs="Times New Roman"/>
          <w:b/>
          <w:i/>
          <w:color w:val="000000"/>
          <w:sz w:val="24"/>
          <w:szCs w:val="24"/>
        </w:rPr>
        <w:t>CTF13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3’ RACE PCR product in the </w:t>
      </w:r>
      <w:r w:rsidRPr="00331205">
        <w:rPr>
          <w:rFonts w:ascii="Times New Roman" w:hAnsi="Times New Roman" w:cs="Times New Roman"/>
          <w:b/>
          <w:i/>
          <w:color w:val="000000"/>
          <w:sz w:val="24"/>
          <w:szCs w:val="24"/>
        </w:rPr>
        <w:t>sno1∆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strain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65A6F" w:rsidRDefault="00744A26" w:rsidP="00744A26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Full length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Sanger sequencing read from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sno1∆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strain. Highlighted TAA denotes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ORF stop codon. Purple “N”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denote poor quality base calls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Pr="00B61DE6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igure S6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. Sanger sequence read for the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complete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</w:rPr>
        <w:t>CTF13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3’ RACE PCR product in the </w:t>
      </w:r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</w:rPr>
        <w:t>sno1∆:</w:t>
      </w:r>
      <w:proofErr w:type="gramStart"/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</w:rPr>
        <w:t>:Kan</w:t>
      </w:r>
      <w:proofErr w:type="gramEnd"/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</w:rPr>
        <w:t>-T</w:t>
      </w:r>
      <w:r w:rsidRPr="00400D83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ADH1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>strain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65A6F" w:rsidRDefault="00744A26" w:rsidP="00744A26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Full length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Sanger sequencing read from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:Kan</w:t>
      </w:r>
      <w:proofErr w:type="gramEnd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 w:rsidRPr="00365A6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strain. </w:t>
      </w:r>
      <w:r>
        <w:rPr>
          <w:rFonts w:ascii="Times New Roman" w:hAnsi="Times New Roman" w:cs="Times New Roman"/>
          <w:color w:val="000000"/>
          <w:sz w:val="24"/>
          <w:szCs w:val="24"/>
        </w:rPr>
        <w:t>Underlined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TAA denotes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ORF stop codon as well as the final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residues corresponding to a putative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signal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Pr="00365A6F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65A6F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S7.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Determining the contribution of T</w:t>
      </w:r>
      <w:r w:rsidRPr="00E229C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TEF1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increased CIN in </w:t>
      </w:r>
      <w:r w:rsidRPr="00E229C5">
        <w:rPr>
          <w:rFonts w:ascii="Times New Roman" w:hAnsi="Times New Roman" w:cs="Times New Roman"/>
          <w:b/>
          <w:i/>
          <w:color w:val="000000"/>
          <w:sz w:val="24"/>
          <w:szCs w:val="24"/>
        </w:rPr>
        <w:t>SNO1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null backgrounds.</w:t>
      </w:r>
    </w:p>
    <w:p w:rsidR="00744A26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Graphical representation of cassettes used to delete </w:t>
      </w:r>
      <w:r w:rsidRPr="00EF0430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>
        <w:rPr>
          <w:rFonts w:ascii="Times New Roman" w:hAnsi="Times New Roman" w:cs="Times New Roman"/>
          <w:color w:val="000000"/>
          <w:sz w:val="24"/>
          <w:szCs w:val="24"/>
        </w:rPr>
        <w:t>, each cassette utilizing P</w:t>
      </w:r>
      <w:r w:rsidRPr="00400D8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TEF1 </w:t>
      </w:r>
      <w:r>
        <w:rPr>
          <w:rFonts w:ascii="Times New Roman" w:hAnsi="Times New Roman" w:cs="Times New Roman"/>
          <w:color w:val="000000"/>
          <w:sz w:val="24"/>
          <w:szCs w:val="24"/>
        </w:rPr>
        <w:t>and T</w:t>
      </w:r>
      <w:r w:rsidRPr="00400D8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TEF1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r w:rsidRPr="00EF0430">
        <w:rPr>
          <w:rFonts w:ascii="Times New Roman" w:hAnsi="Times New Roman" w:cs="Times New Roman"/>
          <w:i/>
          <w:color w:val="000000"/>
          <w:sz w:val="24"/>
          <w:szCs w:val="24"/>
        </w:rPr>
        <w:t>Ashbya</w:t>
      </w:r>
      <w:proofErr w:type="spellEnd"/>
      <w:r w:rsidRPr="00EF04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0430">
        <w:rPr>
          <w:rFonts w:ascii="Times New Roman" w:hAnsi="Times New Roman" w:cs="Times New Roman"/>
          <w:i/>
          <w:color w:val="000000"/>
          <w:sz w:val="24"/>
          <w:szCs w:val="24"/>
        </w:rPr>
        <w:t>gossypii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KanMX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</w:t>
      </w:r>
      <w:r w:rsidRPr="00EF04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NatMX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Nsr</w:t>
      </w:r>
      <w:r w:rsidRPr="00EF04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HphMX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Hph</w:t>
      </w:r>
      <w:r w:rsidRPr="00EF04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confer resistance to the drugs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nourseothricin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hygromycin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>, respectively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9C5">
        <w:rPr>
          <w:rFonts w:ascii="Times New Roman" w:hAnsi="Times New Roman" w:cs="Times New Roman"/>
          <w:color w:val="000000"/>
          <w:sz w:val="24"/>
          <w:szCs w:val="24"/>
        </w:rPr>
        <w:t>Sequence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alignment of 3’ RACE transcripts to the T</w:t>
      </w:r>
      <w:r w:rsidRPr="00E229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TEF1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sequence to confirm each strain (</w:t>
      </w:r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sno1∆::Nat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 w:rsidRPr="00E229C5"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contain the same genetic terminator sequences. </w:t>
      </w:r>
    </w:p>
    <w:p w:rsidR="00744A26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Nested reverse transcriptase (RT)-PCR products from a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assay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 specific primer (MRG577) and Q</w:t>
      </w:r>
      <w:r w:rsidRPr="00365A6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primer (see Supplemental Table S2)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run on a 1% agarose gel stained with ethidium bromide. Lane 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μL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1 kb ladder (NEB #</w:t>
      </w:r>
      <w:r w:rsidRPr="00365A6F">
        <w:rPr>
          <w:rFonts w:ascii="Times New Roman" w:hAnsi="Times New Roman" w:cs="Times New Roman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N3232L). Lane 2: </w:t>
      </w:r>
      <w:r w:rsidRPr="00A53C59">
        <w:rPr>
          <w:rFonts w:ascii="Times New Roman" w:hAnsi="Times New Roman" w:cs="Times New Roman"/>
          <w:color w:val="000000"/>
          <w:sz w:val="24"/>
          <w:szCs w:val="24"/>
        </w:rPr>
        <w:t>Control strain, wild-type SNO1-CTF13 locus</w:t>
      </w:r>
      <w:r>
        <w:rPr>
          <w:rFonts w:ascii="Times New Roman" w:hAnsi="Times New Roman" w:cs="Times New Roman"/>
          <w:color w:val="000000"/>
          <w:sz w:val="24"/>
          <w:szCs w:val="24"/>
        </w:rPr>
        <w:t>. Lane 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Kan</w:t>
      </w:r>
      <w:proofErr w:type="spellEnd"/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Lane 4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URA3</w:t>
      </w:r>
      <w:r>
        <w:rPr>
          <w:rFonts w:ascii="Times New Roman" w:hAnsi="Times New Roman" w:cs="Times New Roman"/>
          <w:color w:val="000000"/>
          <w:sz w:val="24"/>
          <w:szCs w:val="24"/>
        </w:rPr>
        <w:t>, Lane 5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r>
        <w:rPr>
          <w:rFonts w:ascii="Times New Roman" w:hAnsi="Times New Roman" w:cs="Times New Roman"/>
          <w:color w:val="000000"/>
          <w:sz w:val="24"/>
          <w:szCs w:val="24"/>
        </w:rPr>
        <w:t>, Lane 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All strains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were generated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background. This image is a representative example of three biological replicates.</w:t>
      </w:r>
    </w:p>
    <w:p w:rsidR="00744A26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qCTF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assay measuring CIN rates of the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strain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compared to a wild-type (WT) strain. P-values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generat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 Tukey’s post-hoc test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44A26" w:rsidRPr="00365A6F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analysis of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levels expressed as fold changes performed on a wild-type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strain and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strain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using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ORF primer set (set #3).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26" w:rsidRPr="00365A6F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>Sanger sequencing of the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product for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 trimmed to a 61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base pair window within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3’ UTR containing the final sequencing read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3/3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biological replicates contained the same 3’ UTR sequence.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26" w:rsidRPr="00365A6F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>Sanger sequencing of the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product for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 trimmed to a 54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base pair window within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3’ UTR containing the final sequencing read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2/3 biological replicates contained the same 3’ UTR sequence, which matched that of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strain.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26" w:rsidRPr="00365A6F" w:rsidRDefault="00744A26" w:rsidP="00744A26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>Sanger sequencing of the 3’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RACE product for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mRNA 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</w:t>
      </w:r>
      <w:proofErr w:type="gramStart"/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Hph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 trimmed to a 77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base pair window within 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3’ UTR containing the final sequencing read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bioloical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replicates contained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heterogenous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3’ UTR sequence.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26" w:rsidRPr="00365A6F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26" w:rsidRPr="00331205" w:rsidRDefault="00744A26" w:rsidP="00744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Figure S8. 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Genotype and growth characterization of the </w:t>
      </w:r>
      <w:r w:rsidRPr="00F30D04">
        <w:rPr>
          <w:rFonts w:ascii="Times New Roman" w:hAnsi="Times New Roman" w:cs="Times New Roman"/>
          <w:b/>
          <w:i/>
          <w:color w:val="000000"/>
          <w:sz w:val="24"/>
          <w:szCs w:val="24"/>
        </w:rPr>
        <w:t>3xHA-CTF13</w:t>
      </w:r>
      <w:r w:rsidRPr="0033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strain. </w:t>
      </w:r>
    </w:p>
    <w:p w:rsidR="00744A26" w:rsidRPr="00365A6F" w:rsidRDefault="00744A26" w:rsidP="00744A26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Schematic representation of the N-terminal </w:t>
      </w:r>
      <w:r w:rsidRPr="00F30D04">
        <w:rPr>
          <w:rFonts w:ascii="Times New Roman" w:hAnsi="Times New Roman" w:cs="Times New Roman"/>
          <w:i/>
          <w:color w:val="000000"/>
          <w:sz w:val="24"/>
          <w:szCs w:val="24"/>
        </w:rPr>
        <w:t>3xHA-CTF13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tag.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HA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moieties and colored in pink and the final linker sequence is denoted in blue. The following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proline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residue is the first </w:t>
      </w:r>
      <w:proofErr w:type="spell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proline</w:t>
      </w:r>
      <w:proofErr w:type="spell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amino acid sequence. Sequence alignment of genomic DNA from a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3xHA-CTF13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isolate (colony 15) to the MG014 plasmid template sequence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confirm the in-frame 3xHA tag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Sanger sequencing </w:t>
      </w:r>
      <w:proofErr w:type="gramStart"/>
      <w:r w:rsidRPr="00365A6F">
        <w:rPr>
          <w:rFonts w:ascii="Times New Roman" w:hAnsi="Times New Roman" w:cs="Times New Roman"/>
          <w:color w:val="000000"/>
          <w:sz w:val="24"/>
          <w:szCs w:val="24"/>
        </w:rPr>
        <w:t>was performed</w:t>
      </w:r>
      <w:proofErr w:type="gramEnd"/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with primer MRG551.  </w:t>
      </w:r>
    </w:p>
    <w:p w:rsidR="00744A26" w:rsidRPr="00365A6F" w:rsidRDefault="00744A26" w:rsidP="00744A26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An example YPD + 200 mg/L G418 single colony isolation plate showing the failed colony growth of the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3xHA-CTF13/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strain. </w:t>
      </w:r>
      <w:r>
        <w:rPr>
          <w:rFonts w:ascii="Times New Roman" w:hAnsi="Times New Roman" w:cs="Times New Roman"/>
          <w:color w:val="000000"/>
          <w:sz w:val="24"/>
          <w:szCs w:val="24"/>
        </w:rPr>
        <w:t>These colonies were isolated from a transformation plate in which small single colonies formed after more than 72 hours.</w:t>
      </w:r>
    </w:p>
    <w:p w:rsidR="00744A26" w:rsidRDefault="00744A26" w:rsidP="00744A26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Spot dilution assay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a YPD plate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showing ten-fold dilution series of a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wild-type background strain (BY4741) and three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3xHA-CTF13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mutants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following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alleles: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(WT allele),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sno1∆::Kan-T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A26" w:rsidRDefault="00744A26" w:rsidP="00744A26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Spot dilution assay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a YPD + 200 mg/L G418 plate 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showing ten-fold dilution series of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</w:t>
      </w:r>
      <w:r w:rsidRPr="00365A6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</w:rPr>
        <w:t>sno1∆::Kan-T</w:t>
      </w:r>
      <w:r w:rsidRPr="00365A6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ADH1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B25">
        <w:rPr>
          <w:rFonts w:ascii="Times New Roman" w:hAnsi="Times New Roman" w:cs="Times New Roman"/>
          <w:i/>
          <w:color w:val="000000"/>
          <w:sz w:val="24"/>
          <w:szCs w:val="24"/>
        </w:rPr>
        <w:t>3xHA-CTF13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background strains. A single spot of the BY4741 control strain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also added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confirm lack of growth for strains without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KanMX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construct.</w:t>
      </w:r>
    </w:p>
    <w:p w:rsidR="00744A26" w:rsidRPr="00365A6F" w:rsidRDefault="00744A26" w:rsidP="00744A26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Full size images of western blot membranes corresponding to Figure 4H and 4I. Samples are the same as in Figure 4, except that the molecular weight ladder, </w:t>
      </w:r>
      <w:r w:rsidRPr="003A4DF1">
        <w:rPr>
          <w:rFonts w:ascii="Times New Roman" w:hAnsi="Times New Roman" w:cs="Times New Roman"/>
          <w:color w:val="000000"/>
          <w:sz w:val="24"/>
          <w:szCs w:val="24"/>
        </w:rPr>
        <w:t>Precision Plu</w:t>
      </w:r>
      <w:r>
        <w:rPr>
          <w:rFonts w:ascii="Times New Roman" w:hAnsi="Times New Roman" w:cs="Times New Roman"/>
          <w:color w:val="000000"/>
          <w:sz w:val="24"/>
          <w:szCs w:val="24"/>
        </w:rPr>
        <w:t>s Protein™ Dual Color Standards (Bio-Rad, Cat</w:t>
      </w:r>
      <w:r w:rsidRPr="003A4DF1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A4DF1">
        <w:rPr>
          <w:rFonts w:ascii="Times New Roman" w:hAnsi="Times New Roman" w:cs="Times New Roman"/>
          <w:color w:val="000000"/>
          <w:sz w:val="24"/>
          <w:szCs w:val="24"/>
        </w:rPr>
        <w:t>1610374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and a control samples (“C”) are now visible. The control samples lacks any HA tag and confirms that the signal observed is specific to the 3xHA-Ctf13p. </w:t>
      </w:r>
    </w:p>
    <w:p w:rsidR="00744A26" w:rsidRPr="00365A6F" w:rsidRDefault="00744A26" w:rsidP="00744A2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4A1" w:rsidRDefault="007C34A1">
      <w:bookmarkStart w:id="0" w:name="_GoBack"/>
      <w:bookmarkEnd w:id="0"/>
    </w:p>
    <w:sectPr w:rsidR="007C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E9A"/>
    <w:multiLevelType w:val="hybridMultilevel"/>
    <w:tmpl w:val="585646D0"/>
    <w:lvl w:ilvl="0" w:tplc="318C29F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C97"/>
    <w:multiLevelType w:val="hybridMultilevel"/>
    <w:tmpl w:val="629424BA"/>
    <w:lvl w:ilvl="0" w:tplc="5142AF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671A4"/>
    <w:multiLevelType w:val="hybridMultilevel"/>
    <w:tmpl w:val="61CE9F6E"/>
    <w:lvl w:ilvl="0" w:tplc="A81255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74CC"/>
    <w:multiLevelType w:val="hybridMultilevel"/>
    <w:tmpl w:val="75A22F26"/>
    <w:lvl w:ilvl="0" w:tplc="ACC6A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7E7"/>
    <w:multiLevelType w:val="hybridMultilevel"/>
    <w:tmpl w:val="BFA6CF4A"/>
    <w:lvl w:ilvl="0" w:tplc="A5AA0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689F"/>
    <w:multiLevelType w:val="hybridMultilevel"/>
    <w:tmpl w:val="C3D43A9C"/>
    <w:lvl w:ilvl="0" w:tplc="32486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4358"/>
    <w:multiLevelType w:val="hybridMultilevel"/>
    <w:tmpl w:val="CA281E70"/>
    <w:lvl w:ilvl="0" w:tplc="64A81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A2A7F"/>
    <w:multiLevelType w:val="hybridMultilevel"/>
    <w:tmpl w:val="21A86C38"/>
    <w:lvl w:ilvl="0" w:tplc="79FAD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6"/>
    <w:rsid w:val="00744A26"/>
    <w:rsid w:val="007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BC18-096C-4DA8-9FE1-6A26CEA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Gordon</dc:creator>
  <cp:keywords/>
  <dc:description/>
  <cp:lastModifiedBy>Molly Gordon</cp:lastModifiedBy>
  <cp:revision>1</cp:revision>
  <dcterms:created xsi:type="dcterms:W3CDTF">2021-03-09T22:26:00Z</dcterms:created>
  <dcterms:modified xsi:type="dcterms:W3CDTF">2021-03-09T22:26:00Z</dcterms:modified>
</cp:coreProperties>
</file>