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2F63BF" w14:textId="77777777" w:rsidR="00A85C3E" w:rsidRDefault="00A85C3E" w:rsidP="00A85C3E">
      <w:pPr>
        <w:spacing w:line="240" w:lineRule="auto"/>
      </w:pPr>
      <w:r>
        <w:rPr>
          <w:noProof/>
        </w:rPr>
        <w:drawing>
          <wp:inline distT="0" distB="0" distL="0" distR="0" wp14:anchorId="14B16FF5" wp14:editId="3B728789">
            <wp:extent cx="5700397" cy="3599815"/>
            <wp:effectExtent l="0" t="0" r="0" b="0"/>
            <wp:docPr id="206"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00397" cy="3599815"/>
                    </a:xfrm>
                    <a:prstGeom prst="rect">
                      <a:avLst/>
                    </a:prstGeom>
                  </pic:spPr>
                </pic:pic>
              </a:graphicData>
            </a:graphic>
          </wp:inline>
        </w:drawing>
      </w:r>
    </w:p>
    <w:p w14:paraId="7F126881" w14:textId="1E2DB894" w:rsidR="00A85C3E" w:rsidRDefault="00A85C3E" w:rsidP="00A85C3E">
      <w:pPr>
        <w:pStyle w:val="NoSpacing"/>
      </w:pPr>
      <w:r w:rsidRPr="61A00ADD">
        <w:rPr>
          <w:b/>
          <w:bCs/>
        </w:rPr>
        <w:t xml:space="preserve">Supplemental Figure </w:t>
      </w:r>
      <w:r w:rsidR="00E20FE9">
        <w:rPr>
          <w:b/>
          <w:bCs/>
        </w:rPr>
        <w:t>S</w:t>
      </w:r>
      <w:r w:rsidRPr="61A00ADD">
        <w:rPr>
          <w:b/>
          <w:bCs/>
        </w:rPr>
        <w:t>1</w:t>
      </w:r>
      <w:r>
        <w:t xml:space="preserve">. Basic structure of the forward simulator pipeline. </w:t>
      </w:r>
    </w:p>
    <w:p w14:paraId="00402011" w14:textId="77777777" w:rsidR="00A85C3E" w:rsidRDefault="00A85C3E" w:rsidP="00A85C3E">
      <w:pPr>
        <w:pStyle w:val="NoSpacing"/>
      </w:pPr>
      <w:r>
        <w:t>Inbred founding lines (</w:t>
      </w:r>
      <w:r w:rsidRPr="61A00ADD">
        <w:rPr>
          <w:b/>
          <w:bCs/>
        </w:rPr>
        <w:t>A</w:t>
      </w:r>
      <w:r>
        <w:t>) are randomly intercrossed to produce a recombinant population (</w:t>
      </w:r>
      <w:r w:rsidRPr="61A00ADD">
        <w:rPr>
          <w:b/>
          <w:bCs/>
        </w:rPr>
        <w:t>B</w:t>
      </w:r>
      <w:r>
        <w:t>). Rapid generation of independent mapping populations is achieved by random down-sampling (</w:t>
      </w:r>
      <w:r w:rsidRPr="61A00ADD">
        <w:rPr>
          <w:b/>
          <w:bCs/>
        </w:rPr>
        <w:t>C</w:t>
      </w:r>
      <w:r>
        <w:t>) and permutation of ancestry (</w:t>
      </w:r>
      <w:r w:rsidRPr="61A00ADD">
        <w:rPr>
          <w:b/>
          <w:bCs/>
        </w:rPr>
        <w:t>D</w:t>
      </w:r>
      <w:r>
        <w:t xml:space="preserve">). Population genetic data is encoded in a highly compressed format </w:t>
      </w:r>
      <w:r w:rsidRPr="61A00ADD">
        <w:rPr>
          <w:b/>
          <w:bCs/>
        </w:rPr>
        <w:t>(E)</w:t>
      </w:r>
      <w:r>
        <w:t xml:space="preserve"> that references the positions of haplotype blocks instead of genotypes at every site, enabling us to generate 500 mapping populations for a given parameter combination.</w:t>
      </w:r>
    </w:p>
    <w:p w14:paraId="371AE1C0" w14:textId="77777777" w:rsidR="00A85C3E" w:rsidRDefault="00A85C3E" w:rsidP="00A85C3E">
      <w:pPr>
        <w:spacing w:after="160" w:line="259" w:lineRule="auto"/>
      </w:pPr>
      <w:r>
        <w:br w:type="page"/>
      </w:r>
    </w:p>
    <w:p w14:paraId="1D5357B9" w14:textId="77777777" w:rsidR="00A85C3E" w:rsidRDefault="00A85C3E" w:rsidP="00A85C3E">
      <w:pPr>
        <w:spacing w:line="240" w:lineRule="auto"/>
      </w:pPr>
      <w:r>
        <w:rPr>
          <w:noProof/>
        </w:rPr>
        <w:lastRenderedPageBreak/>
        <w:drawing>
          <wp:inline distT="0" distB="0" distL="0" distR="0" wp14:anchorId="603A6A0E" wp14:editId="6F66E174">
            <wp:extent cx="4671062" cy="5618480"/>
            <wp:effectExtent l="0" t="0" r="0" b="0"/>
            <wp:docPr id="207" name="image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png"/>
                    <pic:cNvPicPr/>
                  </pic:nvPicPr>
                  <pic:blipFill>
                    <a:blip r:embed="rId8">
                      <a:extLst>
                        <a:ext uri="{28A0092B-C50C-407E-A947-70E740481C1C}">
                          <a14:useLocalDpi xmlns:a14="http://schemas.microsoft.com/office/drawing/2010/main" val="0"/>
                        </a:ext>
                      </a:extLst>
                    </a:blip>
                    <a:stretch>
                      <a:fillRect/>
                    </a:stretch>
                  </pic:blipFill>
                  <pic:spPr>
                    <a:xfrm>
                      <a:off x="0" y="0"/>
                      <a:ext cx="4671062" cy="5618480"/>
                    </a:xfrm>
                    <a:prstGeom prst="rect">
                      <a:avLst/>
                    </a:prstGeom>
                  </pic:spPr>
                </pic:pic>
              </a:graphicData>
            </a:graphic>
          </wp:inline>
        </w:drawing>
      </w:r>
    </w:p>
    <w:p w14:paraId="21591552" w14:textId="5B0ED184" w:rsidR="00A85C3E" w:rsidRDefault="00A85C3E" w:rsidP="00A85C3E">
      <w:pPr>
        <w:pStyle w:val="NoSpacing"/>
      </w:pPr>
      <w:bookmarkStart w:id="0" w:name="_j2e9jxr995tq"/>
      <w:bookmarkEnd w:id="0"/>
      <w:r w:rsidRPr="61A00ADD">
        <w:rPr>
          <w:b/>
          <w:bCs/>
        </w:rPr>
        <w:t xml:space="preserve">Supplemental Figure </w:t>
      </w:r>
      <w:r w:rsidR="00E20FE9">
        <w:rPr>
          <w:b/>
          <w:bCs/>
        </w:rPr>
        <w:t>S</w:t>
      </w:r>
      <w:r w:rsidRPr="61A00ADD">
        <w:rPr>
          <w:b/>
          <w:bCs/>
        </w:rPr>
        <w:t>2</w:t>
      </w:r>
      <w:r>
        <w:t xml:space="preserve">. Resource usage of RABBIT during haplotype reconstruction. </w:t>
      </w:r>
    </w:p>
    <w:p w14:paraId="7193BEB5" w14:textId="77777777" w:rsidR="00A85C3E" w:rsidRDefault="00A85C3E" w:rsidP="00A85C3E">
      <w:pPr>
        <w:pStyle w:val="NoSpacing"/>
      </w:pPr>
      <w:r>
        <w:t>All reconstructions involve the same simulated 2L chromosome arm comprised of four haplotypes. Simulations included varied numbers of founding haplotypes (</w:t>
      </w:r>
      <w:r>
        <w:rPr>
          <w:i/>
        </w:rPr>
        <w:t>N</w:t>
      </w:r>
      <w:r>
        <w:t xml:space="preserve">) and a randomly selected set of markers (number of SNPs, </w:t>
      </w:r>
      <w:r>
        <w:rPr>
          <w:i/>
        </w:rPr>
        <w:t>S</w:t>
      </w:r>
      <w:r>
        <w:t xml:space="preserve">, incremented in steps of 500). All simulations included, at minimum, the four true haplotypes for the simulated individual.  In </w:t>
      </w:r>
      <w:r>
        <w:rPr>
          <w:b/>
        </w:rPr>
        <w:t xml:space="preserve">A </w:t>
      </w:r>
      <w:r>
        <w:t xml:space="preserve">and </w:t>
      </w:r>
      <w:r>
        <w:rPr>
          <w:b/>
        </w:rPr>
        <w:t>B</w:t>
      </w:r>
      <w:r>
        <w:t xml:space="preserve">, points depict the mean of empirical values (over 10 replicates) and gray lines depict the defined regression models. Regression models for memory usage and runtime are extrapolated over a greater range for number of founding haplotypes in </w:t>
      </w:r>
      <w:r>
        <w:rPr>
          <w:b/>
        </w:rPr>
        <w:t>C</w:t>
      </w:r>
      <w:r>
        <w:t xml:space="preserve"> and </w:t>
      </w:r>
      <w:r>
        <w:rPr>
          <w:b/>
        </w:rPr>
        <w:t>D</w:t>
      </w:r>
      <w:r>
        <w:t>, respectively. Peak memory grew linearly with number of SNPs used, and at a greater-than-linear rate with haplotypes (A). The runtime of RABBIT increased at a greater-than-linear rate for both number of SNPs and number of haplotypes, with the N parameter contributing most to resource cost (B). These models allowed us to estimate resource requirements at greater numbers of haplotypes (C &amp; D) which would be unfeasible to measure empirically.</w:t>
      </w:r>
    </w:p>
    <w:p w14:paraId="1109A414" w14:textId="7022455B" w:rsidR="00F62647" w:rsidRDefault="001E5DF4">
      <w:pPr>
        <w:spacing w:after="160" w:line="259" w:lineRule="auto"/>
        <w:rPr>
          <w:b/>
          <w:bCs/>
        </w:rPr>
      </w:pPr>
      <w:r>
        <w:rPr>
          <w:noProof/>
        </w:rPr>
        <w:lastRenderedPageBreak/>
        <w:drawing>
          <wp:inline distT="0" distB="0" distL="0" distR="0" wp14:anchorId="60B881B7" wp14:editId="46B4DA59">
            <wp:extent cx="5943600" cy="741997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943600" cy="7419976"/>
                    </a:xfrm>
                    <a:prstGeom prst="rect">
                      <a:avLst/>
                    </a:prstGeom>
                  </pic:spPr>
                </pic:pic>
              </a:graphicData>
            </a:graphic>
          </wp:inline>
        </w:drawing>
      </w:r>
    </w:p>
    <w:p w14:paraId="70D839B4" w14:textId="5E0C600C" w:rsidR="001E5DF4" w:rsidRPr="003A33A6" w:rsidRDefault="001E5DF4" w:rsidP="001E5DF4">
      <w:pPr>
        <w:pStyle w:val="NoSpacing"/>
      </w:pPr>
      <w:r w:rsidRPr="61A00ADD">
        <w:rPr>
          <w:b/>
          <w:bCs/>
        </w:rPr>
        <w:t xml:space="preserve">Supplemental Figure </w:t>
      </w:r>
      <w:r>
        <w:rPr>
          <w:b/>
          <w:bCs/>
        </w:rPr>
        <w:t>S</w:t>
      </w:r>
      <w:r w:rsidRPr="61A00ADD">
        <w:rPr>
          <w:b/>
          <w:bCs/>
        </w:rPr>
        <w:t>3</w:t>
      </w:r>
      <w:r w:rsidR="007917A5">
        <w:rPr>
          <w:b/>
          <w:bCs/>
        </w:rPr>
        <w:t>.</w:t>
      </w:r>
      <w:r w:rsidRPr="61A00ADD">
        <w:rPr>
          <w:b/>
          <w:bCs/>
        </w:rPr>
        <w:t xml:space="preserve"> </w:t>
      </w:r>
      <w:r w:rsidRPr="007917A5">
        <w:t xml:space="preserve">Example of unambiguous </w:t>
      </w:r>
      <w:r w:rsidR="003A33A6" w:rsidRPr="007917A5">
        <w:t xml:space="preserve">haplotype inference from HARP. For each chromosome, each haplotype is </w:t>
      </w:r>
      <w:r w:rsidR="00BB4608" w:rsidRPr="007917A5">
        <w:t>indicated by red and yellow dotted lines.</w:t>
      </w:r>
    </w:p>
    <w:p w14:paraId="6C38413B" w14:textId="36C0377D" w:rsidR="0034503E" w:rsidRDefault="00FD4DBE" w:rsidP="0034503E">
      <w:pPr>
        <w:spacing w:after="160" w:line="259" w:lineRule="auto"/>
      </w:pPr>
      <w:r>
        <w:rPr>
          <w:noProof/>
        </w:rPr>
        <w:lastRenderedPageBreak/>
        <w:drawing>
          <wp:inline distT="0" distB="0" distL="0" distR="0" wp14:anchorId="75C83295" wp14:editId="6FB10B40">
            <wp:extent cx="5943600" cy="741997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5943600" cy="7419976"/>
                    </a:xfrm>
                    <a:prstGeom prst="rect">
                      <a:avLst/>
                    </a:prstGeom>
                  </pic:spPr>
                </pic:pic>
              </a:graphicData>
            </a:graphic>
          </wp:inline>
        </w:drawing>
      </w:r>
      <w:r w:rsidR="765555B2" w:rsidRPr="765555B2">
        <w:rPr>
          <w:b/>
          <w:bCs/>
        </w:rPr>
        <w:t xml:space="preserve">Supplemental Figure S4. </w:t>
      </w:r>
      <w:r w:rsidR="765555B2">
        <w:t xml:space="preserve">Example of HARP </w:t>
      </w:r>
      <w:proofErr w:type="spellStart"/>
      <w:r w:rsidR="765555B2">
        <w:t>freq</w:t>
      </w:r>
      <w:proofErr w:type="spellEnd"/>
      <w:r w:rsidR="765555B2">
        <w:t xml:space="preserve"> output with ambiguous haplotype inference. For each chromosome, each haplotype is indicated by red and yellow dotted lines. For this individual’s autosomes, at least one haplotype cannot be unambiguously resolved.</w:t>
      </w:r>
    </w:p>
    <w:p w14:paraId="4F41F6B5" w14:textId="18C3A969" w:rsidR="001A69A6" w:rsidRDefault="001A69A6" w:rsidP="00A819A3">
      <w:pPr>
        <w:spacing w:after="160" w:line="259" w:lineRule="auto"/>
      </w:pPr>
      <w:r w:rsidRPr="765555B2">
        <w:rPr>
          <w:b/>
          <w:bCs/>
        </w:rPr>
        <w:br w:type="page"/>
      </w:r>
      <w:r>
        <w:rPr>
          <w:noProof/>
        </w:rPr>
        <w:lastRenderedPageBreak/>
        <w:drawing>
          <wp:inline distT="0" distB="0" distL="0" distR="0" wp14:anchorId="41F3030D" wp14:editId="0E8B0E32">
            <wp:extent cx="5942964" cy="3682365"/>
            <wp:effectExtent l="0" t="0" r="0" b="0"/>
            <wp:docPr id="196" name="Graphic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31"/>
                    <pic:cNvPicPr/>
                  </pic:nvPicPr>
                  <pic:blipFill>
                    <a:blip r:embed="rId11">
                      <a:extLst>
                        <a:ext uri="{28A0092B-C50C-407E-A947-70E740481C1C}">
                          <a14:useLocalDpi xmlns:a14="http://schemas.microsoft.com/office/drawing/2010/main" val="0"/>
                        </a:ext>
                      </a:extLst>
                    </a:blip>
                    <a:stretch>
                      <a:fillRect/>
                    </a:stretch>
                  </pic:blipFill>
                  <pic:spPr>
                    <a:xfrm>
                      <a:off x="0" y="0"/>
                      <a:ext cx="5942964" cy="3682365"/>
                    </a:xfrm>
                    <a:prstGeom prst="rect">
                      <a:avLst/>
                    </a:prstGeom>
                  </pic:spPr>
                </pic:pic>
              </a:graphicData>
            </a:graphic>
          </wp:inline>
        </w:drawing>
      </w:r>
    </w:p>
    <w:p w14:paraId="30A25E90" w14:textId="52E03F1C" w:rsidR="001A69A6" w:rsidRDefault="001A69A6" w:rsidP="001A69A6">
      <w:pPr>
        <w:pStyle w:val="NoSpacing"/>
      </w:pPr>
      <w:r>
        <w:rPr>
          <w:b/>
          <w:bCs/>
        </w:rPr>
        <w:t xml:space="preserve">Supplemental </w:t>
      </w:r>
      <w:r w:rsidRPr="000D68DD">
        <w:rPr>
          <w:b/>
          <w:bCs/>
        </w:rPr>
        <w:t xml:space="preserve">Figure </w:t>
      </w:r>
      <w:r>
        <w:rPr>
          <w:b/>
          <w:bCs/>
        </w:rPr>
        <w:t>S</w:t>
      </w:r>
      <w:r w:rsidR="00DD56FA">
        <w:rPr>
          <w:b/>
          <w:bCs/>
        </w:rPr>
        <w:t>5</w:t>
      </w:r>
      <w:r>
        <w:t xml:space="preserve">. Workflow for reconstructing whole genomes from ultra-low coverage sequencing data. Three required inputs are sequencing reads </w:t>
      </w:r>
      <w:proofErr w:type="gramStart"/>
      <w:r>
        <w:t>(.</w:t>
      </w:r>
      <w:proofErr w:type="spellStart"/>
      <w:r>
        <w:t>fastq</w:t>
      </w:r>
      <w:proofErr w:type="spellEnd"/>
      <w:proofErr w:type="gramEnd"/>
      <w:r>
        <w:t>), a reference genome (.</w:t>
      </w:r>
      <w:proofErr w:type="spellStart"/>
      <w:r>
        <w:t>fasta</w:t>
      </w:r>
      <w:proofErr w:type="spellEnd"/>
      <w:r>
        <w:t>), and homozygous (or phased) founder haplotypes (.</w:t>
      </w:r>
      <w:proofErr w:type="spellStart"/>
      <w:r>
        <w:t>vcf</w:t>
      </w:r>
      <w:proofErr w:type="spellEnd"/>
      <w:r>
        <w:t xml:space="preserve"> file). A recombination map can optionally be provided for use with RABBIT to inform variation in recombination rates across chromosomes. Flowchart designed in draw.io.</w:t>
      </w:r>
    </w:p>
    <w:p w14:paraId="601287DD" w14:textId="77777777" w:rsidR="001A69A6" w:rsidRDefault="001A69A6" w:rsidP="001A69A6">
      <w:pPr>
        <w:spacing w:after="160" w:line="259" w:lineRule="auto"/>
      </w:pPr>
      <w:r>
        <w:br w:type="page"/>
      </w:r>
    </w:p>
    <w:p w14:paraId="03658401" w14:textId="5053CBD6" w:rsidR="00A85C3E" w:rsidRDefault="00A85C3E" w:rsidP="00A85C3E">
      <w:pPr>
        <w:spacing w:after="160" w:line="259" w:lineRule="auto"/>
      </w:pPr>
    </w:p>
    <w:p w14:paraId="22BB8AB4" w14:textId="77777777" w:rsidR="001A69A6" w:rsidRDefault="001A69A6" w:rsidP="001A69A6">
      <w:pPr>
        <w:spacing w:line="240" w:lineRule="auto"/>
      </w:pPr>
      <w:r>
        <w:rPr>
          <w:noProof/>
        </w:rPr>
        <w:drawing>
          <wp:inline distT="0" distB="0" distL="0" distR="0" wp14:anchorId="161D7D6F" wp14:editId="2C4F2D31">
            <wp:extent cx="5988684" cy="2792730"/>
            <wp:effectExtent l="0" t="0" r="0" b="0"/>
            <wp:docPr id="19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2">
                      <a:extLst>
                        <a:ext uri="{28A0092B-C50C-407E-A947-70E740481C1C}">
                          <a14:useLocalDpi xmlns:a14="http://schemas.microsoft.com/office/drawing/2010/main" val="0"/>
                        </a:ext>
                      </a:extLst>
                    </a:blip>
                    <a:stretch>
                      <a:fillRect/>
                    </a:stretch>
                  </pic:blipFill>
                  <pic:spPr>
                    <a:xfrm>
                      <a:off x="0" y="0"/>
                      <a:ext cx="5988684" cy="2792730"/>
                    </a:xfrm>
                    <a:prstGeom prst="rect">
                      <a:avLst/>
                    </a:prstGeom>
                  </pic:spPr>
                </pic:pic>
              </a:graphicData>
            </a:graphic>
          </wp:inline>
        </w:drawing>
      </w:r>
    </w:p>
    <w:p w14:paraId="0FC4D012" w14:textId="6478B041" w:rsidR="001A69A6" w:rsidRDefault="146B644C" w:rsidP="001A69A6">
      <w:pPr>
        <w:pStyle w:val="NoSpacing"/>
      </w:pPr>
      <w:r w:rsidRPr="146B644C">
        <w:rPr>
          <w:b/>
          <w:bCs/>
        </w:rPr>
        <w:t>Supplemental Figure S6.</w:t>
      </w:r>
      <w:r>
        <w:t xml:space="preserve"> Liability phenotype model for GWAS simulations. for transforming additive risk scores to probability of assignment to the case population, i.e. probability of developing a disease. Rare alleles increase risk score, which in turns increases probability of being assigned a case phenotype. </w:t>
      </w:r>
      <w:r w:rsidRPr="146B644C">
        <w:rPr>
          <w:b/>
          <w:bCs/>
        </w:rPr>
        <w:t>A</w:t>
      </w:r>
      <w:r>
        <w:t xml:space="preserve">: The relationship between allele frequency and effect on liability risk score. Simulations were modeled as larger or smaller effect with a user-defined effect size coefficient. Error bars describe the standard deviation of a gaussian sample which constitutes random phenotypic noise. </w:t>
      </w:r>
      <w:r w:rsidRPr="146B644C">
        <w:rPr>
          <w:b/>
          <w:bCs/>
        </w:rPr>
        <w:t>B</w:t>
      </w:r>
      <w:r>
        <w:t>: Logistic transformation of the form y=(1+</w:t>
      </w:r>
      <w:r w:rsidRPr="146B644C">
        <w:rPr>
          <w:i/>
          <w:iCs/>
        </w:rPr>
        <w:t>e</w:t>
      </w:r>
      <w:r w:rsidRPr="146B644C">
        <w:rPr>
          <w:vertAlign w:val="superscript"/>
        </w:rPr>
        <w:t>-x</w:t>
      </w:r>
      <w:r>
        <w:t>)</w:t>
      </w:r>
      <w:r w:rsidRPr="146B644C">
        <w:rPr>
          <w:vertAlign w:val="superscript"/>
        </w:rPr>
        <w:t>-1</w:t>
      </w:r>
      <w:r>
        <w:t xml:space="preserve"> translates the liability score into probability of being assigned to case population. </w:t>
      </w:r>
    </w:p>
    <w:p w14:paraId="0C6EEA41" w14:textId="5CB75DEB" w:rsidR="001A6E75" w:rsidRDefault="001A69A6">
      <w:pPr>
        <w:spacing w:after="160" w:line="259" w:lineRule="auto"/>
      </w:pPr>
      <w:r>
        <w:br w:type="page"/>
      </w:r>
    </w:p>
    <w:p w14:paraId="1EFDAEA9" w14:textId="77777777" w:rsidR="001A6E75" w:rsidRDefault="001A6E75" w:rsidP="001A6E75">
      <w:pPr>
        <w:spacing w:line="240" w:lineRule="auto"/>
        <w:rPr>
          <w:b/>
        </w:rPr>
      </w:pPr>
      <w:r>
        <w:rPr>
          <w:noProof/>
        </w:rPr>
        <w:lastRenderedPageBreak/>
        <w:drawing>
          <wp:inline distT="0" distB="0" distL="0" distR="0" wp14:anchorId="235CE816" wp14:editId="0AC9A3C8">
            <wp:extent cx="4679314" cy="3599815"/>
            <wp:effectExtent l="0" t="0" r="0" b="0"/>
            <wp:docPr id="20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3">
                      <a:extLst>
                        <a:ext uri="{28A0092B-C50C-407E-A947-70E740481C1C}">
                          <a14:useLocalDpi xmlns:a14="http://schemas.microsoft.com/office/drawing/2010/main" val="0"/>
                        </a:ext>
                      </a:extLst>
                    </a:blip>
                    <a:stretch>
                      <a:fillRect/>
                    </a:stretch>
                  </pic:blipFill>
                  <pic:spPr>
                    <a:xfrm>
                      <a:off x="0" y="0"/>
                      <a:ext cx="4679314" cy="3599815"/>
                    </a:xfrm>
                    <a:prstGeom prst="rect">
                      <a:avLst/>
                    </a:prstGeom>
                  </pic:spPr>
                </pic:pic>
              </a:graphicData>
            </a:graphic>
          </wp:inline>
        </w:drawing>
      </w:r>
    </w:p>
    <w:p w14:paraId="0522560D" w14:textId="4B8C31DD" w:rsidR="001A6E75" w:rsidRDefault="001A6E75" w:rsidP="001A6E75">
      <w:pPr>
        <w:pStyle w:val="NoSpacing"/>
      </w:pPr>
      <w:r w:rsidRPr="61A00ADD">
        <w:rPr>
          <w:b/>
          <w:bCs/>
        </w:rPr>
        <w:t xml:space="preserve">Supplemental Figure </w:t>
      </w:r>
      <w:r>
        <w:rPr>
          <w:b/>
          <w:bCs/>
        </w:rPr>
        <w:t>S</w:t>
      </w:r>
      <w:r w:rsidR="00DD56FA">
        <w:rPr>
          <w:b/>
          <w:bCs/>
        </w:rPr>
        <w:t>7</w:t>
      </w:r>
      <w:r>
        <w:t xml:space="preserve">. Optimization curves for Most-Likely-Ancestor (MLA) selection.   </w:t>
      </w:r>
    </w:p>
    <w:p w14:paraId="114BDD3C" w14:textId="77777777" w:rsidR="001A6E75" w:rsidRDefault="001A6E75" w:rsidP="001A6E75">
      <w:pPr>
        <w:pStyle w:val="NoSpacing"/>
      </w:pPr>
      <w:r>
        <w:t>To ensure reconstruction was both accurate and computationally feasible, we selected the smallest set of most-likely-ancestors that still represent the greatest fraction of to-be-reconstructed genomes. Increasing the upper limit for the number of MLAs chosen improves the fraction of genome represented with diminishing returns. The HARP threshold of 0.99 performed best for 128-founder populations, for both DGRP-derived and coalescent-derived simulations. Conversely, 32-founder populations performed best with a HARP threshold of 0.95. Data shown reports means across 400 replicates made up of 100 simulated individuals (4 autosomes each for coalescent simulations, 4 autosome arms each for DGRP simulations) per parameter combination.  Coalescent-derived populations described here wer1e simulated with</w:t>
      </w:r>
      <w:bookmarkStart w:id="1" w:name="_u9dyek80nk14" w:colFirst="0" w:colLast="0"/>
      <w:bookmarkStart w:id="2" w:name="_30j0zll" w:colFirst="0" w:colLast="0"/>
      <w:bookmarkStart w:id="3" w:name="_i49vlmr9j3qp" w:colFirst="0" w:colLast="0"/>
      <w:bookmarkEnd w:id="1"/>
      <w:bookmarkEnd w:id="2"/>
      <w:bookmarkEnd w:id="3"/>
      <w:r>
        <w:t xml:space="preserve"> N</w:t>
      </w:r>
      <w:r w:rsidRPr="00927004">
        <w:rPr>
          <w:vertAlign w:val="subscript"/>
        </w:rPr>
        <w:t>e</w:t>
      </w:r>
      <w:r>
        <w:t>=1</w:t>
      </w:r>
      <w:r>
        <w:rPr>
          <w:color w:val="202124"/>
          <w:shd w:val="clear" w:color="auto" w:fill="FFFFFF"/>
        </w:rPr>
        <w:t>×10</w:t>
      </w:r>
      <w:r w:rsidRPr="0027529C">
        <w:rPr>
          <w:color w:val="202124"/>
          <w:shd w:val="clear" w:color="auto" w:fill="FFFFFF"/>
          <w:vertAlign w:val="superscript"/>
        </w:rPr>
        <w:t>6</w:t>
      </w:r>
      <w:r>
        <w:t xml:space="preserve"> and mutation </w:t>
      </w:r>
      <w:r w:rsidRPr="00927004">
        <w:t>rate μ=5×10</w:t>
      </w:r>
      <w:r w:rsidRPr="00091E64">
        <w:rPr>
          <w:vertAlign w:val="superscript"/>
        </w:rPr>
        <w:t>-9</w:t>
      </w:r>
      <w:r>
        <w:t>.</w:t>
      </w:r>
    </w:p>
    <w:p w14:paraId="2672F63A" w14:textId="77777777" w:rsidR="001A6E75" w:rsidRDefault="001A6E75" w:rsidP="001A6E75">
      <w:pPr>
        <w:spacing w:after="160" w:line="259" w:lineRule="auto"/>
      </w:pPr>
      <w:r>
        <w:br w:type="page"/>
      </w:r>
    </w:p>
    <w:p w14:paraId="375CDE7C" w14:textId="77777777" w:rsidR="00207F91" w:rsidRDefault="00207F91" w:rsidP="00207F91">
      <w:pPr>
        <w:spacing w:line="240" w:lineRule="auto"/>
      </w:pPr>
      <w:r>
        <w:rPr>
          <w:noProof/>
        </w:rPr>
        <w:lastRenderedPageBreak/>
        <w:drawing>
          <wp:inline distT="0" distB="0" distL="0" distR="0" wp14:anchorId="463D427C" wp14:editId="081B645F">
            <wp:extent cx="5931534" cy="3789680"/>
            <wp:effectExtent l="0" t="0" r="0" b="0"/>
            <wp:docPr id="19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4">
                      <a:extLst>
                        <a:ext uri="{28A0092B-C50C-407E-A947-70E740481C1C}">
                          <a14:useLocalDpi xmlns:a14="http://schemas.microsoft.com/office/drawing/2010/main" val="0"/>
                        </a:ext>
                      </a:extLst>
                    </a:blip>
                    <a:stretch>
                      <a:fillRect/>
                    </a:stretch>
                  </pic:blipFill>
                  <pic:spPr>
                    <a:xfrm>
                      <a:off x="0" y="0"/>
                      <a:ext cx="5931534" cy="3789680"/>
                    </a:xfrm>
                    <a:prstGeom prst="rect">
                      <a:avLst/>
                    </a:prstGeom>
                  </pic:spPr>
                </pic:pic>
              </a:graphicData>
            </a:graphic>
          </wp:inline>
        </w:drawing>
      </w:r>
    </w:p>
    <w:p w14:paraId="00CFFD83" w14:textId="033EF88A" w:rsidR="00620C7C" w:rsidRDefault="61A00ADD" w:rsidP="00207F91">
      <w:pPr>
        <w:pStyle w:val="NoSpacing"/>
      </w:pPr>
      <w:bookmarkStart w:id="4" w:name="_2t6xyiz3eho3" w:colFirst="0" w:colLast="0"/>
      <w:bookmarkEnd w:id="4"/>
      <w:r w:rsidRPr="61A00ADD">
        <w:rPr>
          <w:b/>
          <w:bCs/>
        </w:rPr>
        <w:t xml:space="preserve">Supplemental Figure </w:t>
      </w:r>
      <w:r w:rsidR="00E20FE9">
        <w:rPr>
          <w:b/>
          <w:bCs/>
        </w:rPr>
        <w:t>S</w:t>
      </w:r>
      <w:r w:rsidR="00DD56FA">
        <w:rPr>
          <w:b/>
          <w:bCs/>
        </w:rPr>
        <w:t>8</w:t>
      </w:r>
      <w:r>
        <w:t>. Optimization curves for Most-Likely-Ancestor inclusion for additional parameter combinations. A: SCRM (coalescent) derived populations across different parameters; B: accuracy is similar for both 0.05X and 0.005X sequencing coverage in populations simulated with DGRP genomes.</w:t>
      </w:r>
    </w:p>
    <w:p w14:paraId="566C72C4" w14:textId="77777777" w:rsidR="00620C7C" w:rsidRDefault="00620C7C">
      <w:pPr>
        <w:spacing w:after="160" w:line="259" w:lineRule="auto"/>
      </w:pPr>
      <w:r>
        <w:br w:type="page"/>
      </w:r>
    </w:p>
    <w:p w14:paraId="121D3058" w14:textId="77777777" w:rsidR="00A05114" w:rsidRDefault="00A05114" w:rsidP="00A05114">
      <w:pPr>
        <w:spacing w:line="240" w:lineRule="auto"/>
      </w:pPr>
      <w:r>
        <w:rPr>
          <w:noProof/>
        </w:rPr>
        <w:lastRenderedPageBreak/>
        <w:drawing>
          <wp:inline distT="0" distB="0" distL="0" distR="0" wp14:anchorId="6364FD8F" wp14:editId="52C682E6">
            <wp:extent cx="5758178" cy="4316730"/>
            <wp:effectExtent l="0" t="0" r="0" b="0"/>
            <wp:docPr id="19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8178" cy="4316730"/>
                    </a:xfrm>
                    <a:prstGeom prst="rect">
                      <a:avLst/>
                    </a:prstGeom>
                  </pic:spPr>
                </pic:pic>
              </a:graphicData>
            </a:graphic>
          </wp:inline>
        </w:drawing>
      </w:r>
    </w:p>
    <w:p w14:paraId="04D4664B" w14:textId="75E6F315" w:rsidR="00A05114" w:rsidRDefault="61A00ADD" w:rsidP="00A05114">
      <w:pPr>
        <w:pStyle w:val="NoSpacing"/>
      </w:pPr>
      <w:bookmarkStart w:id="5" w:name="_vmoi8k8w8ktr" w:colFirst="0" w:colLast="0"/>
      <w:bookmarkEnd w:id="5"/>
      <w:r w:rsidRPr="61A00ADD">
        <w:rPr>
          <w:b/>
          <w:bCs/>
        </w:rPr>
        <w:t xml:space="preserve">Supplemental Figure </w:t>
      </w:r>
      <w:r w:rsidR="00E20FE9" w:rsidRPr="007917A5">
        <w:rPr>
          <w:b/>
          <w:bCs/>
        </w:rPr>
        <w:t>S</w:t>
      </w:r>
      <w:r w:rsidR="00DD56FA" w:rsidRPr="007917A5">
        <w:rPr>
          <w:b/>
          <w:bCs/>
        </w:rPr>
        <w:t>9</w:t>
      </w:r>
      <w:r w:rsidRPr="007917A5">
        <w:rPr>
          <w:b/>
          <w:bCs/>
        </w:rPr>
        <w:t>.</w:t>
      </w:r>
      <w:r w:rsidRPr="007917A5">
        <w:t xml:space="preserve"> Accuracy of genome reconstruction for simulated, DGRP-derived F</w:t>
      </w:r>
      <w:r w:rsidRPr="007917A5">
        <w:rPr>
          <w:vertAlign w:val="subscript"/>
        </w:rPr>
        <w:t>5</w:t>
      </w:r>
      <w:r w:rsidRPr="007917A5">
        <w:t xml:space="preserve"> hybrid swarm individuals.</w:t>
      </w:r>
      <w:r>
        <w:t xml:space="preserve">  Reconstructions were performed for populations simulated as being founded by either 32 or 128 inbred lines for two levels of ultra-low sequencing coverage. Accuracy is represented on a logit scale, as most points occur above 90%. Reconstructed chromosomes estimated to have </w:t>
      </w:r>
      <w:r w:rsidRPr="61A00ADD">
        <w:rPr>
          <w:u w:val="single"/>
        </w:rPr>
        <w:t>&gt;</w:t>
      </w:r>
      <w:r>
        <w:t xml:space="preserve">10 recombination events are denoted by an ×, offset from the bulk of the </w:t>
      </w:r>
      <w:r w:rsidR="75DAC92E">
        <w:t>distribution.</w:t>
      </w:r>
      <w:r>
        <w:t xml:space="preserve"> Each parameter combination includes 400 reconstructed chromosomes (from 100 simulated individuals).</w:t>
      </w:r>
    </w:p>
    <w:p w14:paraId="413B5AB9" w14:textId="57A341FC" w:rsidR="00B46905" w:rsidRDefault="00A05114">
      <w:pPr>
        <w:spacing w:after="160" w:line="259" w:lineRule="auto"/>
      </w:pPr>
      <w:r>
        <w:br w:type="page"/>
      </w:r>
    </w:p>
    <w:p w14:paraId="53DE8E91" w14:textId="77777777" w:rsidR="00B46905" w:rsidRDefault="00B46905" w:rsidP="00B46905">
      <w:pPr>
        <w:widowControl w:val="0"/>
        <w:pBdr>
          <w:top w:val="nil"/>
          <w:left w:val="nil"/>
          <w:bottom w:val="nil"/>
          <w:right w:val="nil"/>
          <w:between w:val="nil"/>
        </w:pBdr>
        <w:spacing w:line="240" w:lineRule="auto"/>
      </w:pPr>
      <w:r>
        <w:rPr>
          <w:noProof/>
        </w:rPr>
        <w:lastRenderedPageBreak/>
        <w:drawing>
          <wp:inline distT="0" distB="0" distL="0" distR="0" wp14:anchorId="3272A4AE" wp14:editId="342D6DF5">
            <wp:extent cx="6491604" cy="5181598"/>
            <wp:effectExtent l="0" t="0" r="0" b="0"/>
            <wp:docPr id="194"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91604" cy="5181598"/>
                    </a:xfrm>
                    <a:prstGeom prst="rect">
                      <a:avLst/>
                    </a:prstGeom>
                  </pic:spPr>
                </pic:pic>
              </a:graphicData>
            </a:graphic>
          </wp:inline>
        </w:drawing>
      </w:r>
    </w:p>
    <w:p w14:paraId="1C102546" w14:textId="649D67B9" w:rsidR="00042728" w:rsidRDefault="00B46905" w:rsidP="00B46905">
      <w:pPr>
        <w:spacing w:line="240" w:lineRule="auto"/>
      </w:pPr>
      <w:bookmarkStart w:id="6" w:name="_qwo253v54bxo" w:colFirst="0" w:colLast="0"/>
      <w:bookmarkEnd w:id="6"/>
      <w:r w:rsidRPr="61A00ADD">
        <w:rPr>
          <w:b/>
          <w:bCs/>
        </w:rPr>
        <w:t xml:space="preserve">Supplemental Figure </w:t>
      </w:r>
      <w:r>
        <w:rPr>
          <w:b/>
          <w:bCs/>
        </w:rPr>
        <w:t>S</w:t>
      </w:r>
      <w:r w:rsidR="00DD56FA">
        <w:rPr>
          <w:b/>
          <w:bCs/>
        </w:rPr>
        <w:t>10</w:t>
      </w:r>
      <w:r w:rsidRPr="007917A5">
        <w:rPr>
          <w:b/>
          <w:bCs/>
        </w:rPr>
        <w:t xml:space="preserve">. </w:t>
      </w:r>
      <w:r w:rsidRPr="007917A5">
        <w:t>Accuracy of genome reconstruction for simulated, coalescent-derived F</w:t>
      </w:r>
      <w:r w:rsidRPr="007917A5">
        <w:rPr>
          <w:vertAlign w:val="subscript"/>
        </w:rPr>
        <w:t>5</w:t>
      </w:r>
      <w:r w:rsidRPr="007917A5">
        <w:t xml:space="preserve"> hybrid swarm individuals.</w:t>
      </w:r>
      <w:r>
        <w:t xml:space="preserve">  Reconstructions were performed for populations simulated as being founded by either 32 or 128 inbred lines for various effective population sizes (N</w:t>
      </w:r>
      <w:r w:rsidRPr="61A00ADD">
        <w:rPr>
          <w:vertAlign w:val="subscript"/>
        </w:rPr>
        <w:t>e</w:t>
      </w:r>
      <w:r>
        <w:t xml:space="preserve">) and mutation rates (μ). Accuracy is represented on a logit scale, as most points occur above 90%. Reconstructed chromosomes estimated to have </w:t>
      </w:r>
      <w:r w:rsidRPr="61A00ADD">
        <w:rPr>
          <w:u w:val="single"/>
        </w:rPr>
        <w:t>&gt;</w:t>
      </w:r>
      <w:r>
        <w:t>10 recombination events are denoted by an ×, offset from the bulk of the distributions. Each parameter combination includes 400 reconstructed chromosomes (from 100 simulated individuals).</w:t>
      </w:r>
    </w:p>
    <w:p w14:paraId="05A113EE" w14:textId="77777777" w:rsidR="00042728" w:rsidRDefault="00042728">
      <w:pPr>
        <w:spacing w:after="160" w:line="259" w:lineRule="auto"/>
      </w:pPr>
      <w:r>
        <w:br w:type="page"/>
      </w:r>
    </w:p>
    <w:p w14:paraId="402849A0" w14:textId="048A5A93" w:rsidR="00B46905" w:rsidRDefault="00042728" w:rsidP="00B46905">
      <w:pPr>
        <w:spacing w:line="240" w:lineRule="auto"/>
      </w:pPr>
      <w:r>
        <w:rPr>
          <w:noProof/>
        </w:rPr>
        <w:lastRenderedPageBreak/>
        <w:drawing>
          <wp:inline distT="0" distB="0" distL="0" distR="0" wp14:anchorId="76A42333" wp14:editId="3EBE5F00">
            <wp:extent cx="3590925" cy="393753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3590925" cy="3937539"/>
                    </a:xfrm>
                    <a:prstGeom prst="rect">
                      <a:avLst/>
                    </a:prstGeom>
                  </pic:spPr>
                </pic:pic>
              </a:graphicData>
            </a:graphic>
          </wp:inline>
        </w:drawing>
      </w:r>
    </w:p>
    <w:p w14:paraId="6A943C6A" w14:textId="533A398E" w:rsidR="00A05114" w:rsidRDefault="00042728">
      <w:pPr>
        <w:spacing w:after="160" w:line="259" w:lineRule="auto"/>
      </w:pPr>
      <w:r w:rsidRPr="00042728">
        <w:rPr>
          <w:b/>
          <w:bCs/>
        </w:rPr>
        <w:t>Supplemental Figure S</w:t>
      </w:r>
      <w:r w:rsidR="0039439A">
        <w:rPr>
          <w:b/>
          <w:bCs/>
        </w:rPr>
        <w:t>11</w:t>
      </w:r>
      <w:r>
        <w:t>. Genotyping accuracy of STITCH for simulated 32-founder F5 hybrid swarm populations sequenced at 0.05X coverage. Genotype accuracy improves with greater numbers of sequenced individuals, as STITCH infers missing genotypes from other haplotypes in the population. Boxes represent the median and interquartile range; whiskers extending to the lower and upper bounds of the 95% quantiles. See methods for parameters used.</w:t>
      </w:r>
    </w:p>
    <w:p w14:paraId="5A0BBCB8" w14:textId="77777777" w:rsidR="008C4356" w:rsidRDefault="008C4356" w:rsidP="008C4356">
      <w:pPr>
        <w:spacing w:line="240" w:lineRule="auto"/>
      </w:pPr>
      <w:r>
        <w:rPr>
          <w:noProof/>
        </w:rPr>
        <w:lastRenderedPageBreak/>
        <w:drawing>
          <wp:inline distT="0" distB="0" distL="0" distR="0" wp14:anchorId="19AA45B5" wp14:editId="340EA7D5">
            <wp:extent cx="5305426" cy="5305426"/>
            <wp:effectExtent l="0" t="0" r="0" b="0"/>
            <wp:docPr id="19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305426" cy="5305426"/>
                    </a:xfrm>
                    <a:prstGeom prst="rect">
                      <a:avLst/>
                    </a:prstGeom>
                  </pic:spPr>
                </pic:pic>
              </a:graphicData>
            </a:graphic>
          </wp:inline>
        </w:drawing>
      </w:r>
    </w:p>
    <w:p w14:paraId="0F53B743" w14:textId="728467D4" w:rsidR="00750CBC" w:rsidRDefault="1C55F8A8" w:rsidP="008C4356">
      <w:pPr>
        <w:pStyle w:val="NoSpacing"/>
      </w:pPr>
      <w:r w:rsidRPr="1C55F8A8">
        <w:rPr>
          <w:b/>
          <w:bCs/>
        </w:rPr>
        <w:t>Supplemental Figure S1</w:t>
      </w:r>
      <w:r w:rsidR="0039439A">
        <w:rPr>
          <w:b/>
          <w:bCs/>
        </w:rPr>
        <w:t>2</w:t>
      </w:r>
      <w:r w:rsidRPr="1C55F8A8">
        <w:rPr>
          <w:b/>
          <w:bCs/>
        </w:rPr>
        <w:t xml:space="preserve">. </w:t>
      </w:r>
      <w:r w:rsidRPr="007917A5">
        <w:t>Receiver Operator Characteristic (ROC) curves for additional GWAS simulations.</w:t>
      </w:r>
      <w:r w:rsidRPr="1C55F8A8">
        <w:rPr>
          <w:b/>
          <w:bCs/>
        </w:rPr>
        <w:t xml:space="preserve"> </w:t>
      </w:r>
      <w:r>
        <w:t xml:space="preserve">To generate single representative ROC curves across 500 GWAS simulations per population, we stepped through all specificity values and calculated the mean sensitivity. Inset boxplots display the median and interquartile range of Area Under the Curve (AUC) distributions, with whiskers spanning the middle 95% of data. </w:t>
      </w:r>
      <w:r w:rsidRPr="1C55F8A8">
        <w:rPr>
          <w:b/>
          <w:bCs/>
        </w:rPr>
        <w:t>ILs</w:t>
      </w:r>
      <w:r>
        <w:t xml:space="preserve">: inbred lines. </w:t>
      </w:r>
      <w:r w:rsidRPr="1C55F8A8">
        <w:rPr>
          <w:b/>
          <w:bCs/>
        </w:rPr>
        <w:t>HS</w:t>
      </w:r>
      <w:r>
        <w:t xml:space="preserve">: Hybrid Swarm populations founded by 32 or 128 lines. </w:t>
      </w:r>
    </w:p>
    <w:p w14:paraId="20B3EFF0" w14:textId="16478AB4" w:rsidR="1C55F8A8" w:rsidRDefault="1C55F8A8" w:rsidP="1C55F8A8">
      <w:pPr>
        <w:pStyle w:val="NoSpacing"/>
      </w:pPr>
    </w:p>
    <w:p w14:paraId="3C9C8E7B" w14:textId="447AD934" w:rsidR="1C55F8A8" w:rsidRDefault="1C55F8A8" w:rsidP="1C55F8A8">
      <w:pPr>
        <w:pStyle w:val="NoSpacing"/>
      </w:pPr>
    </w:p>
    <w:p w14:paraId="2807F89D" w14:textId="77777777" w:rsidR="00750CBC" w:rsidRDefault="00750CBC">
      <w:pPr>
        <w:spacing w:after="160" w:line="259" w:lineRule="auto"/>
      </w:pPr>
      <w:r>
        <w:br w:type="page"/>
      </w:r>
    </w:p>
    <w:p w14:paraId="3D6E2D61" w14:textId="6AB9F702" w:rsidR="008C4356" w:rsidRDefault="002267C8" w:rsidP="008C4356">
      <w:pPr>
        <w:pStyle w:val="NoSpacing"/>
      </w:pPr>
      <w:r>
        <w:rPr>
          <w:noProof/>
        </w:rPr>
        <w:lastRenderedPageBreak/>
        <w:drawing>
          <wp:inline distT="0" distB="0" distL="0" distR="0" wp14:anchorId="1FF29A01" wp14:editId="0FEBA1D3">
            <wp:extent cx="5401310" cy="54013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1310" cy="5401310"/>
                    </a:xfrm>
                    <a:prstGeom prst="rect">
                      <a:avLst/>
                    </a:prstGeom>
                  </pic:spPr>
                </pic:pic>
              </a:graphicData>
            </a:graphic>
          </wp:inline>
        </w:drawing>
      </w:r>
    </w:p>
    <w:p w14:paraId="0B4B125A" w14:textId="418E7AEA" w:rsidR="00CA1A5D" w:rsidRDefault="61A00ADD" w:rsidP="00CA1A5D">
      <w:pPr>
        <w:spacing w:line="240" w:lineRule="auto"/>
      </w:pPr>
      <w:r w:rsidRPr="00E20FE9">
        <w:rPr>
          <w:b/>
          <w:bCs/>
        </w:rPr>
        <w:t xml:space="preserve">Supplemental Figure </w:t>
      </w:r>
      <w:r w:rsidR="00E20FE9">
        <w:rPr>
          <w:b/>
          <w:bCs/>
        </w:rPr>
        <w:t>S</w:t>
      </w:r>
      <w:r w:rsidRPr="61A00ADD">
        <w:rPr>
          <w:b/>
          <w:bCs/>
        </w:rPr>
        <w:t>1</w:t>
      </w:r>
      <w:r w:rsidR="0039439A">
        <w:rPr>
          <w:b/>
          <w:bCs/>
        </w:rPr>
        <w:t>3</w:t>
      </w:r>
      <w:r w:rsidRPr="00E20FE9">
        <w:rPr>
          <w:b/>
          <w:bCs/>
        </w:rPr>
        <w:t xml:space="preserve">. </w:t>
      </w:r>
      <w:r w:rsidRPr="007917A5">
        <w:t>Genomic Inflation Factor with and without low-frequency filtering.</w:t>
      </w:r>
      <w:r>
        <w:t xml:space="preserve"> Excluding alleles with a minor allele frequency below 5% does not reduce genomic inflation factor in inbred lines. </w:t>
      </w:r>
      <w:r w:rsidR="008210CB">
        <w:t xml:space="preserve">Box depicts the middle 50% quantiles with whiskers extending to the middle 95% of data points. </w:t>
      </w:r>
      <w:r>
        <w:t xml:space="preserve">Traits were modeled as a single locus of large effect. </w:t>
      </w:r>
    </w:p>
    <w:p w14:paraId="4A6C4040" w14:textId="05C7EBB9" w:rsidR="38821955" w:rsidRDefault="38821955" w:rsidP="00C7020A">
      <w:pPr>
        <w:spacing w:after="160" w:line="259" w:lineRule="auto"/>
      </w:pPr>
    </w:p>
    <w:sectPr w:rsidR="38821955" w:rsidSect="007A5E54">
      <w:pgSz w:w="12240" w:h="15840"/>
      <w:pgMar w:top="1440" w:right="1440" w:bottom="1440" w:left="1440" w:header="720" w:footer="720" w:gutter="0"/>
      <w:lnNumType w:countBy="2"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D651F4" w14:textId="77777777" w:rsidR="009C3CC4" w:rsidRDefault="009C3CC4">
      <w:pPr>
        <w:spacing w:line="240" w:lineRule="auto"/>
      </w:pPr>
      <w:r>
        <w:separator/>
      </w:r>
    </w:p>
  </w:endnote>
  <w:endnote w:type="continuationSeparator" w:id="0">
    <w:p w14:paraId="07BE85E4" w14:textId="77777777" w:rsidR="009C3CC4" w:rsidRDefault="009C3CC4">
      <w:pPr>
        <w:spacing w:line="240" w:lineRule="auto"/>
      </w:pPr>
      <w:r>
        <w:continuationSeparator/>
      </w:r>
    </w:p>
  </w:endnote>
  <w:endnote w:type="continuationNotice" w:id="1">
    <w:p w14:paraId="68C08AA9" w14:textId="77777777" w:rsidR="009C3CC4" w:rsidRDefault="009C3CC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0E4767" w14:textId="77777777" w:rsidR="009C3CC4" w:rsidRDefault="009C3CC4">
      <w:pPr>
        <w:spacing w:line="240" w:lineRule="auto"/>
      </w:pPr>
      <w:r>
        <w:separator/>
      </w:r>
    </w:p>
  </w:footnote>
  <w:footnote w:type="continuationSeparator" w:id="0">
    <w:p w14:paraId="05DEF69B" w14:textId="77777777" w:rsidR="009C3CC4" w:rsidRDefault="009C3CC4">
      <w:pPr>
        <w:spacing w:line="240" w:lineRule="auto"/>
      </w:pPr>
      <w:r>
        <w:continuationSeparator/>
      </w:r>
    </w:p>
  </w:footnote>
  <w:footnote w:type="continuationNotice" w:id="1">
    <w:p w14:paraId="0D60F7B7" w14:textId="77777777" w:rsidR="009C3CC4" w:rsidRDefault="009C3CC4">
      <w:pPr>
        <w:spacing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8DF"/>
    <w:rsid w:val="00001B7F"/>
    <w:rsid w:val="000033FA"/>
    <w:rsid w:val="00013104"/>
    <w:rsid w:val="00013827"/>
    <w:rsid w:val="00020172"/>
    <w:rsid w:val="00021CDE"/>
    <w:rsid w:val="000261DD"/>
    <w:rsid w:val="00026A71"/>
    <w:rsid w:val="0003548B"/>
    <w:rsid w:val="000363F2"/>
    <w:rsid w:val="00042728"/>
    <w:rsid w:val="00047B56"/>
    <w:rsid w:val="0005447D"/>
    <w:rsid w:val="000662C5"/>
    <w:rsid w:val="000768DF"/>
    <w:rsid w:val="000836BC"/>
    <w:rsid w:val="00085993"/>
    <w:rsid w:val="000A770E"/>
    <w:rsid w:val="000B55EF"/>
    <w:rsid w:val="000B6ACA"/>
    <w:rsid w:val="000C53FD"/>
    <w:rsid w:val="000D1CAD"/>
    <w:rsid w:val="000D39F2"/>
    <w:rsid w:val="000E2DE9"/>
    <w:rsid w:val="000E7D9E"/>
    <w:rsid w:val="000F1D4C"/>
    <w:rsid w:val="000F6C24"/>
    <w:rsid w:val="00101287"/>
    <w:rsid w:val="0010297E"/>
    <w:rsid w:val="00107DFC"/>
    <w:rsid w:val="00110115"/>
    <w:rsid w:val="0011328C"/>
    <w:rsid w:val="001169CB"/>
    <w:rsid w:val="00117DC6"/>
    <w:rsid w:val="00121088"/>
    <w:rsid w:val="00122430"/>
    <w:rsid w:val="00122BE5"/>
    <w:rsid w:val="00127B5A"/>
    <w:rsid w:val="00135DB3"/>
    <w:rsid w:val="001374FC"/>
    <w:rsid w:val="00146ABA"/>
    <w:rsid w:val="00150D2A"/>
    <w:rsid w:val="001532D6"/>
    <w:rsid w:val="001558F5"/>
    <w:rsid w:val="0016220F"/>
    <w:rsid w:val="0016301A"/>
    <w:rsid w:val="00170872"/>
    <w:rsid w:val="00183332"/>
    <w:rsid w:val="001908F6"/>
    <w:rsid w:val="00190C85"/>
    <w:rsid w:val="001922D0"/>
    <w:rsid w:val="0019326F"/>
    <w:rsid w:val="00194528"/>
    <w:rsid w:val="00194573"/>
    <w:rsid w:val="00194768"/>
    <w:rsid w:val="00194CE8"/>
    <w:rsid w:val="001A3399"/>
    <w:rsid w:val="001A6062"/>
    <w:rsid w:val="001A69A6"/>
    <w:rsid w:val="001A6E75"/>
    <w:rsid w:val="001A7ABC"/>
    <w:rsid w:val="001B0DF6"/>
    <w:rsid w:val="001B14AA"/>
    <w:rsid w:val="001D1027"/>
    <w:rsid w:val="001D5BA7"/>
    <w:rsid w:val="001D7516"/>
    <w:rsid w:val="001E11B0"/>
    <w:rsid w:val="001E5DF4"/>
    <w:rsid w:val="001F1503"/>
    <w:rsid w:val="001F27BE"/>
    <w:rsid w:val="00206BB1"/>
    <w:rsid w:val="00207F90"/>
    <w:rsid w:val="00207F91"/>
    <w:rsid w:val="00215690"/>
    <w:rsid w:val="002267C8"/>
    <w:rsid w:val="00235531"/>
    <w:rsid w:val="0023726B"/>
    <w:rsid w:val="00265543"/>
    <w:rsid w:val="00287D82"/>
    <w:rsid w:val="002A2AE2"/>
    <w:rsid w:val="002A6B86"/>
    <w:rsid w:val="002B34EE"/>
    <w:rsid w:val="002C09F6"/>
    <w:rsid w:val="002C2198"/>
    <w:rsid w:val="002D400B"/>
    <w:rsid w:val="002D7C46"/>
    <w:rsid w:val="002E398F"/>
    <w:rsid w:val="002E3C42"/>
    <w:rsid w:val="002E4166"/>
    <w:rsid w:val="002E5821"/>
    <w:rsid w:val="002F00FB"/>
    <w:rsid w:val="00303128"/>
    <w:rsid w:val="00305A78"/>
    <w:rsid w:val="00306D61"/>
    <w:rsid w:val="00310FCB"/>
    <w:rsid w:val="00323A3F"/>
    <w:rsid w:val="00340EB1"/>
    <w:rsid w:val="00340FC7"/>
    <w:rsid w:val="00344AF2"/>
    <w:rsid w:val="0034503E"/>
    <w:rsid w:val="0034513D"/>
    <w:rsid w:val="00353DD4"/>
    <w:rsid w:val="00361C18"/>
    <w:rsid w:val="00375225"/>
    <w:rsid w:val="0038100D"/>
    <w:rsid w:val="00381336"/>
    <w:rsid w:val="00383AED"/>
    <w:rsid w:val="00383DA1"/>
    <w:rsid w:val="00383E83"/>
    <w:rsid w:val="0039171F"/>
    <w:rsid w:val="00392644"/>
    <w:rsid w:val="0039439A"/>
    <w:rsid w:val="003950DA"/>
    <w:rsid w:val="00397147"/>
    <w:rsid w:val="003A33A6"/>
    <w:rsid w:val="003A3EE0"/>
    <w:rsid w:val="003B251D"/>
    <w:rsid w:val="003B4317"/>
    <w:rsid w:val="003C097D"/>
    <w:rsid w:val="003C2B3C"/>
    <w:rsid w:val="003C7BBD"/>
    <w:rsid w:val="003C7DF3"/>
    <w:rsid w:val="003D4F07"/>
    <w:rsid w:val="003D71A9"/>
    <w:rsid w:val="003E6910"/>
    <w:rsid w:val="003F1CE4"/>
    <w:rsid w:val="003F37EB"/>
    <w:rsid w:val="003F398A"/>
    <w:rsid w:val="003F6489"/>
    <w:rsid w:val="00400A08"/>
    <w:rsid w:val="00405C6D"/>
    <w:rsid w:val="00414D2B"/>
    <w:rsid w:val="00415A5D"/>
    <w:rsid w:val="00422D27"/>
    <w:rsid w:val="00423086"/>
    <w:rsid w:val="00425F17"/>
    <w:rsid w:val="004373E5"/>
    <w:rsid w:val="004414ED"/>
    <w:rsid w:val="00447141"/>
    <w:rsid w:val="004472CE"/>
    <w:rsid w:val="004504E7"/>
    <w:rsid w:val="00453A92"/>
    <w:rsid w:val="00463E35"/>
    <w:rsid w:val="00464447"/>
    <w:rsid w:val="004661A5"/>
    <w:rsid w:val="004713E4"/>
    <w:rsid w:val="0047292D"/>
    <w:rsid w:val="004731D4"/>
    <w:rsid w:val="00477E0F"/>
    <w:rsid w:val="004820A0"/>
    <w:rsid w:val="00491166"/>
    <w:rsid w:val="004954E7"/>
    <w:rsid w:val="00497CA1"/>
    <w:rsid w:val="004B7E0E"/>
    <w:rsid w:val="004C4232"/>
    <w:rsid w:val="004E61CA"/>
    <w:rsid w:val="004F4EC3"/>
    <w:rsid w:val="004F5406"/>
    <w:rsid w:val="004F77BB"/>
    <w:rsid w:val="005027BA"/>
    <w:rsid w:val="00512E42"/>
    <w:rsid w:val="00517E4D"/>
    <w:rsid w:val="00522337"/>
    <w:rsid w:val="00527B02"/>
    <w:rsid w:val="005314DD"/>
    <w:rsid w:val="00531717"/>
    <w:rsid w:val="0055526D"/>
    <w:rsid w:val="00557C2F"/>
    <w:rsid w:val="0056157F"/>
    <w:rsid w:val="00561E8C"/>
    <w:rsid w:val="00570AC6"/>
    <w:rsid w:val="00574DC5"/>
    <w:rsid w:val="00584211"/>
    <w:rsid w:val="005A6208"/>
    <w:rsid w:val="005A7697"/>
    <w:rsid w:val="005B6D9A"/>
    <w:rsid w:val="005C7527"/>
    <w:rsid w:val="005C7556"/>
    <w:rsid w:val="005D1617"/>
    <w:rsid w:val="005D3DC4"/>
    <w:rsid w:val="005D68DF"/>
    <w:rsid w:val="005E1773"/>
    <w:rsid w:val="005E251F"/>
    <w:rsid w:val="005F58D0"/>
    <w:rsid w:val="005F6B48"/>
    <w:rsid w:val="005F71B9"/>
    <w:rsid w:val="00602EC8"/>
    <w:rsid w:val="006042ED"/>
    <w:rsid w:val="00604B7E"/>
    <w:rsid w:val="006107D2"/>
    <w:rsid w:val="00610B6D"/>
    <w:rsid w:val="00612299"/>
    <w:rsid w:val="00620C7C"/>
    <w:rsid w:val="00621979"/>
    <w:rsid w:val="00622442"/>
    <w:rsid w:val="00623975"/>
    <w:rsid w:val="006321E7"/>
    <w:rsid w:val="006366A1"/>
    <w:rsid w:val="00641A28"/>
    <w:rsid w:val="00643234"/>
    <w:rsid w:val="0065189C"/>
    <w:rsid w:val="00657FED"/>
    <w:rsid w:val="006600DD"/>
    <w:rsid w:val="00665D8C"/>
    <w:rsid w:val="006676DB"/>
    <w:rsid w:val="00672866"/>
    <w:rsid w:val="00681CF9"/>
    <w:rsid w:val="006849E1"/>
    <w:rsid w:val="006911E6"/>
    <w:rsid w:val="00691BCF"/>
    <w:rsid w:val="00693640"/>
    <w:rsid w:val="006A263E"/>
    <w:rsid w:val="006A312E"/>
    <w:rsid w:val="006A60D8"/>
    <w:rsid w:val="006B1FA1"/>
    <w:rsid w:val="006B2C6E"/>
    <w:rsid w:val="006B4851"/>
    <w:rsid w:val="006C119F"/>
    <w:rsid w:val="006E0028"/>
    <w:rsid w:val="006E260E"/>
    <w:rsid w:val="006E3F9F"/>
    <w:rsid w:val="006E7CC5"/>
    <w:rsid w:val="006F5561"/>
    <w:rsid w:val="006F6648"/>
    <w:rsid w:val="00700DD5"/>
    <w:rsid w:val="007010D9"/>
    <w:rsid w:val="00702C11"/>
    <w:rsid w:val="00707094"/>
    <w:rsid w:val="00712FF5"/>
    <w:rsid w:val="00724C32"/>
    <w:rsid w:val="00730695"/>
    <w:rsid w:val="00732CE5"/>
    <w:rsid w:val="007378A3"/>
    <w:rsid w:val="0074417B"/>
    <w:rsid w:val="00750CBC"/>
    <w:rsid w:val="007539CD"/>
    <w:rsid w:val="007629EA"/>
    <w:rsid w:val="007632A7"/>
    <w:rsid w:val="00786146"/>
    <w:rsid w:val="007909DD"/>
    <w:rsid w:val="00790AC7"/>
    <w:rsid w:val="007917A5"/>
    <w:rsid w:val="00795B99"/>
    <w:rsid w:val="007A3F03"/>
    <w:rsid w:val="007A5E54"/>
    <w:rsid w:val="007A7396"/>
    <w:rsid w:val="007B13B0"/>
    <w:rsid w:val="007B41F1"/>
    <w:rsid w:val="007B4F42"/>
    <w:rsid w:val="007B72C0"/>
    <w:rsid w:val="007C18F2"/>
    <w:rsid w:val="007C6612"/>
    <w:rsid w:val="007C6790"/>
    <w:rsid w:val="007E64C2"/>
    <w:rsid w:val="007F2834"/>
    <w:rsid w:val="007F2FE5"/>
    <w:rsid w:val="0081523F"/>
    <w:rsid w:val="008206DC"/>
    <w:rsid w:val="008210CB"/>
    <w:rsid w:val="0084134E"/>
    <w:rsid w:val="00846569"/>
    <w:rsid w:val="00850033"/>
    <w:rsid w:val="00852394"/>
    <w:rsid w:val="008548CD"/>
    <w:rsid w:val="00854BB4"/>
    <w:rsid w:val="008653B2"/>
    <w:rsid w:val="00867967"/>
    <w:rsid w:val="00867CFC"/>
    <w:rsid w:val="00867F83"/>
    <w:rsid w:val="00884B8F"/>
    <w:rsid w:val="0088565E"/>
    <w:rsid w:val="00890773"/>
    <w:rsid w:val="00891988"/>
    <w:rsid w:val="008926E5"/>
    <w:rsid w:val="008958CC"/>
    <w:rsid w:val="008A725F"/>
    <w:rsid w:val="008B13B1"/>
    <w:rsid w:val="008B2117"/>
    <w:rsid w:val="008B7DE5"/>
    <w:rsid w:val="008C4356"/>
    <w:rsid w:val="008C4D62"/>
    <w:rsid w:val="008C588F"/>
    <w:rsid w:val="008D296D"/>
    <w:rsid w:val="008E096F"/>
    <w:rsid w:val="008E0FFA"/>
    <w:rsid w:val="008E34D9"/>
    <w:rsid w:val="008E57F6"/>
    <w:rsid w:val="008E658B"/>
    <w:rsid w:val="008E6C39"/>
    <w:rsid w:val="008F3EDB"/>
    <w:rsid w:val="00913DB8"/>
    <w:rsid w:val="00916B85"/>
    <w:rsid w:val="00916DFA"/>
    <w:rsid w:val="00917473"/>
    <w:rsid w:val="00924FBD"/>
    <w:rsid w:val="00934473"/>
    <w:rsid w:val="009352A0"/>
    <w:rsid w:val="0095525E"/>
    <w:rsid w:val="00965CB2"/>
    <w:rsid w:val="009775CF"/>
    <w:rsid w:val="00977A10"/>
    <w:rsid w:val="009801C9"/>
    <w:rsid w:val="00980D43"/>
    <w:rsid w:val="009868ED"/>
    <w:rsid w:val="009964BA"/>
    <w:rsid w:val="00996567"/>
    <w:rsid w:val="009A5280"/>
    <w:rsid w:val="009B2A08"/>
    <w:rsid w:val="009B6CDE"/>
    <w:rsid w:val="009C3CC4"/>
    <w:rsid w:val="009E27FE"/>
    <w:rsid w:val="009E77C5"/>
    <w:rsid w:val="009F6AF4"/>
    <w:rsid w:val="00A023E0"/>
    <w:rsid w:val="00A05114"/>
    <w:rsid w:val="00A06294"/>
    <w:rsid w:val="00A13311"/>
    <w:rsid w:val="00A16780"/>
    <w:rsid w:val="00A20798"/>
    <w:rsid w:val="00A27C9A"/>
    <w:rsid w:val="00A33578"/>
    <w:rsid w:val="00A35A3D"/>
    <w:rsid w:val="00A3626A"/>
    <w:rsid w:val="00A43785"/>
    <w:rsid w:val="00A53E14"/>
    <w:rsid w:val="00A5628B"/>
    <w:rsid w:val="00A56AAD"/>
    <w:rsid w:val="00A819A3"/>
    <w:rsid w:val="00A85A1F"/>
    <w:rsid w:val="00A85C3E"/>
    <w:rsid w:val="00A860FB"/>
    <w:rsid w:val="00A8738D"/>
    <w:rsid w:val="00A921AF"/>
    <w:rsid w:val="00A94B03"/>
    <w:rsid w:val="00A94C41"/>
    <w:rsid w:val="00AA2DBF"/>
    <w:rsid w:val="00AA32A8"/>
    <w:rsid w:val="00AA677A"/>
    <w:rsid w:val="00AA7F19"/>
    <w:rsid w:val="00AB00BF"/>
    <w:rsid w:val="00AB31E4"/>
    <w:rsid w:val="00AB79F8"/>
    <w:rsid w:val="00AC2F46"/>
    <w:rsid w:val="00AE0522"/>
    <w:rsid w:val="00AE07A2"/>
    <w:rsid w:val="00AE49E6"/>
    <w:rsid w:val="00AF0081"/>
    <w:rsid w:val="00AF4011"/>
    <w:rsid w:val="00AF5C89"/>
    <w:rsid w:val="00AF6D3C"/>
    <w:rsid w:val="00B017DD"/>
    <w:rsid w:val="00B04BEC"/>
    <w:rsid w:val="00B1199E"/>
    <w:rsid w:val="00B1325C"/>
    <w:rsid w:val="00B1368E"/>
    <w:rsid w:val="00B13AF6"/>
    <w:rsid w:val="00B219F7"/>
    <w:rsid w:val="00B225A5"/>
    <w:rsid w:val="00B25404"/>
    <w:rsid w:val="00B26BE2"/>
    <w:rsid w:val="00B32559"/>
    <w:rsid w:val="00B3410E"/>
    <w:rsid w:val="00B36774"/>
    <w:rsid w:val="00B4512E"/>
    <w:rsid w:val="00B46905"/>
    <w:rsid w:val="00B51217"/>
    <w:rsid w:val="00B53E22"/>
    <w:rsid w:val="00B6018D"/>
    <w:rsid w:val="00B75776"/>
    <w:rsid w:val="00B76FD8"/>
    <w:rsid w:val="00B77C97"/>
    <w:rsid w:val="00B817B4"/>
    <w:rsid w:val="00B84C15"/>
    <w:rsid w:val="00B87910"/>
    <w:rsid w:val="00BB328D"/>
    <w:rsid w:val="00BB4608"/>
    <w:rsid w:val="00BC2394"/>
    <w:rsid w:val="00BD2EF8"/>
    <w:rsid w:val="00BD304A"/>
    <w:rsid w:val="00BE09A2"/>
    <w:rsid w:val="00BE36AF"/>
    <w:rsid w:val="00BE3700"/>
    <w:rsid w:val="00BE5D25"/>
    <w:rsid w:val="00BF3F77"/>
    <w:rsid w:val="00C17ABE"/>
    <w:rsid w:val="00C20E8A"/>
    <w:rsid w:val="00C2156A"/>
    <w:rsid w:val="00C22431"/>
    <w:rsid w:val="00C31227"/>
    <w:rsid w:val="00C37265"/>
    <w:rsid w:val="00C518D2"/>
    <w:rsid w:val="00C61EB6"/>
    <w:rsid w:val="00C63C4C"/>
    <w:rsid w:val="00C64C14"/>
    <w:rsid w:val="00C66475"/>
    <w:rsid w:val="00C7020A"/>
    <w:rsid w:val="00C73B45"/>
    <w:rsid w:val="00C77DCD"/>
    <w:rsid w:val="00C83613"/>
    <w:rsid w:val="00C93A5F"/>
    <w:rsid w:val="00C95675"/>
    <w:rsid w:val="00CA1A5D"/>
    <w:rsid w:val="00CA3D43"/>
    <w:rsid w:val="00CB1D6F"/>
    <w:rsid w:val="00CC363F"/>
    <w:rsid w:val="00CD7D73"/>
    <w:rsid w:val="00CE22B3"/>
    <w:rsid w:val="00CE5FA0"/>
    <w:rsid w:val="00CF3B7A"/>
    <w:rsid w:val="00CF4F71"/>
    <w:rsid w:val="00D00E44"/>
    <w:rsid w:val="00D13788"/>
    <w:rsid w:val="00D14F15"/>
    <w:rsid w:val="00D2703C"/>
    <w:rsid w:val="00D32585"/>
    <w:rsid w:val="00D335AB"/>
    <w:rsid w:val="00D356AB"/>
    <w:rsid w:val="00D36291"/>
    <w:rsid w:val="00D42977"/>
    <w:rsid w:val="00D45A6D"/>
    <w:rsid w:val="00D56BF7"/>
    <w:rsid w:val="00D849D6"/>
    <w:rsid w:val="00D85926"/>
    <w:rsid w:val="00D90D9F"/>
    <w:rsid w:val="00D93CBB"/>
    <w:rsid w:val="00D9449C"/>
    <w:rsid w:val="00DA05AD"/>
    <w:rsid w:val="00DA1312"/>
    <w:rsid w:val="00DB2337"/>
    <w:rsid w:val="00DB675E"/>
    <w:rsid w:val="00DC368C"/>
    <w:rsid w:val="00DC444F"/>
    <w:rsid w:val="00DC4F7B"/>
    <w:rsid w:val="00DD4D52"/>
    <w:rsid w:val="00DD56FA"/>
    <w:rsid w:val="00DD7A80"/>
    <w:rsid w:val="00DE0ADF"/>
    <w:rsid w:val="00DF7D6D"/>
    <w:rsid w:val="00E0024C"/>
    <w:rsid w:val="00E06B85"/>
    <w:rsid w:val="00E16E05"/>
    <w:rsid w:val="00E20FE9"/>
    <w:rsid w:val="00E25171"/>
    <w:rsid w:val="00E253E0"/>
    <w:rsid w:val="00E3501F"/>
    <w:rsid w:val="00E36095"/>
    <w:rsid w:val="00E36ECB"/>
    <w:rsid w:val="00E431CE"/>
    <w:rsid w:val="00E47EC0"/>
    <w:rsid w:val="00E52EB7"/>
    <w:rsid w:val="00E602FA"/>
    <w:rsid w:val="00E62E75"/>
    <w:rsid w:val="00E66D5A"/>
    <w:rsid w:val="00E80654"/>
    <w:rsid w:val="00E83D3A"/>
    <w:rsid w:val="00E96747"/>
    <w:rsid w:val="00E96CED"/>
    <w:rsid w:val="00EA124A"/>
    <w:rsid w:val="00EA3BFB"/>
    <w:rsid w:val="00EB12E1"/>
    <w:rsid w:val="00EB56B9"/>
    <w:rsid w:val="00EC0150"/>
    <w:rsid w:val="00EC4330"/>
    <w:rsid w:val="00ED0E12"/>
    <w:rsid w:val="00ED1044"/>
    <w:rsid w:val="00ED23B3"/>
    <w:rsid w:val="00ED38A5"/>
    <w:rsid w:val="00EE4D79"/>
    <w:rsid w:val="00EE6652"/>
    <w:rsid w:val="00EF0761"/>
    <w:rsid w:val="00EF4E22"/>
    <w:rsid w:val="00EF7F3F"/>
    <w:rsid w:val="00F00D47"/>
    <w:rsid w:val="00F02796"/>
    <w:rsid w:val="00F116FE"/>
    <w:rsid w:val="00F23953"/>
    <w:rsid w:val="00F23F7A"/>
    <w:rsid w:val="00F245E2"/>
    <w:rsid w:val="00F3509D"/>
    <w:rsid w:val="00F406B2"/>
    <w:rsid w:val="00F4717D"/>
    <w:rsid w:val="00F5159C"/>
    <w:rsid w:val="00F57CF2"/>
    <w:rsid w:val="00F6143E"/>
    <w:rsid w:val="00F61F11"/>
    <w:rsid w:val="00F62647"/>
    <w:rsid w:val="00F64D18"/>
    <w:rsid w:val="00F70259"/>
    <w:rsid w:val="00F74767"/>
    <w:rsid w:val="00F84915"/>
    <w:rsid w:val="00F92E95"/>
    <w:rsid w:val="00F960D8"/>
    <w:rsid w:val="00F96FC8"/>
    <w:rsid w:val="00F97CAB"/>
    <w:rsid w:val="00FA0B82"/>
    <w:rsid w:val="00FA28EC"/>
    <w:rsid w:val="00FA305D"/>
    <w:rsid w:val="00FA5816"/>
    <w:rsid w:val="00FA5FC3"/>
    <w:rsid w:val="00FC1C60"/>
    <w:rsid w:val="00FD0AE8"/>
    <w:rsid w:val="00FD3CC8"/>
    <w:rsid w:val="00FD4DBE"/>
    <w:rsid w:val="00FD5BEC"/>
    <w:rsid w:val="00FE0569"/>
    <w:rsid w:val="00FE6F69"/>
    <w:rsid w:val="00FF290D"/>
    <w:rsid w:val="00FF4617"/>
    <w:rsid w:val="024CEFB9"/>
    <w:rsid w:val="02522957"/>
    <w:rsid w:val="0278911B"/>
    <w:rsid w:val="03969082"/>
    <w:rsid w:val="0766FA9D"/>
    <w:rsid w:val="146B644C"/>
    <w:rsid w:val="154E82E5"/>
    <w:rsid w:val="1C480B87"/>
    <w:rsid w:val="1C55F8A8"/>
    <w:rsid w:val="1EFD8F91"/>
    <w:rsid w:val="21408E54"/>
    <w:rsid w:val="24807F98"/>
    <w:rsid w:val="2850B3ED"/>
    <w:rsid w:val="309E08EF"/>
    <w:rsid w:val="38821955"/>
    <w:rsid w:val="39144766"/>
    <w:rsid w:val="41EF73DC"/>
    <w:rsid w:val="465F3034"/>
    <w:rsid w:val="48A17A6C"/>
    <w:rsid w:val="4943D867"/>
    <w:rsid w:val="4E5F920C"/>
    <w:rsid w:val="4E78E61D"/>
    <w:rsid w:val="51904262"/>
    <w:rsid w:val="550BAB23"/>
    <w:rsid w:val="569A21EB"/>
    <w:rsid w:val="61A00ADD"/>
    <w:rsid w:val="65568724"/>
    <w:rsid w:val="68CFF0FF"/>
    <w:rsid w:val="6A969B47"/>
    <w:rsid w:val="6AC328BE"/>
    <w:rsid w:val="6B82337A"/>
    <w:rsid w:val="6E791778"/>
    <w:rsid w:val="737DF4D8"/>
    <w:rsid w:val="75DAC92E"/>
    <w:rsid w:val="765555B2"/>
    <w:rsid w:val="7669E110"/>
    <w:rsid w:val="781B7CE5"/>
    <w:rsid w:val="7B6779A4"/>
    <w:rsid w:val="7C67B8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D49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D2B"/>
    <w:pPr>
      <w:spacing w:after="0" w:line="360" w:lineRule="auto"/>
    </w:pPr>
    <w:rPr>
      <w:rFonts w:ascii="Arial" w:eastAsia="Arial" w:hAnsi="Arial" w:cs="Arial"/>
      <w:sz w:val="24"/>
      <w:szCs w:val="24"/>
    </w:rPr>
  </w:style>
  <w:style w:type="paragraph" w:styleId="Heading1">
    <w:name w:val="heading 1"/>
    <w:basedOn w:val="Normal"/>
    <w:next w:val="Normal"/>
    <w:link w:val="Heading1Char"/>
    <w:uiPriority w:val="9"/>
    <w:qFormat/>
    <w:rsid w:val="00414D2B"/>
    <w:pPr>
      <w:keepNext/>
      <w:keepLines/>
      <w:jc w:val="center"/>
      <w:outlineLvl w:val="0"/>
    </w:pPr>
    <w:rPr>
      <w:b/>
    </w:rPr>
  </w:style>
  <w:style w:type="paragraph" w:styleId="Heading2">
    <w:name w:val="heading 2"/>
    <w:basedOn w:val="Normal"/>
    <w:next w:val="Normal"/>
    <w:link w:val="Heading2Char"/>
    <w:uiPriority w:val="9"/>
    <w:semiHidden/>
    <w:unhideWhenUsed/>
    <w:qFormat/>
    <w:rsid w:val="0049116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472C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4D2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D2B"/>
    <w:rPr>
      <w:rFonts w:ascii="Segoe UI" w:hAnsi="Segoe UI" w:cs="Segoe UI"/>
      <w:sz w:val="18"/>
      <w:szCs w:val="18"/>
    </w:rPr>
  </w:style>
  <w:style w:type="character" w:customStyle="1" w:styleId="Heading1Char">
    <w:name w:val="Heading 1 Char"/>
    <w:basedOn w:val="DefaultParagraphFont"/>
    <w:link w:val="Heading1"/>
    <w:uiPriority w:val="9"/>
    <w:rsid w:val="00414D2B"/>
    <w:rPr>
      <w:rFonts w:ascii="Arial" w:eastAsia="Arial" w:hAnsi="Arial" w:cs="Arial"/>
      <w:b/>
      <w:sz w:val="24"/>
      <w:szCs w:val="24"/>
    </w:rPr>
  </w:style>
  <w:style w:type="paragraph" w:styleId="CommentText">
    <w:name w:val="annotation text"/>
    <w:basedOn w:val="Normal"/>
    <w:link w:val="CommentTextChar"/>
    <w:uiPriority w:val="99"/>
    <w:semiHidden/>
    <w:unhideWhenUsed/>
    <w:rsid w:val="00917473"/>
    <w:pPr>
      <w:spacing w:line="240" w:lineRule="auto"/>
    </w:pPr>
    <w:rPr>
      <w:sz w:val="20"/>
      <w:szCs w:val="20"/>
    </w:rPr>
  </w:style>
  <w:style w:type="character" w:customStyle="1" w:styleId="CommentTextChar">
    <w:name w:val="Comment Text Char"/>
    <w:basedOn w:val="DefaultParagraphFont"/>
    <w:link w:val="CommentText"/>
    <w:uiPriority w:val="99"/>
    <w:semiHidden/>
    <w:rsid w:val="00917473"/>
    <w:rPr>
      <w:rFonts w:ascii="Arial" w:eastAsia="Arial" w:hAnsi="Arial" w:cs="Arial"/>
      <w:sz w:val="20"/>
      <w:szCs w:val="20"/>
    </w:rPr>
  </w:style>
  <w:style w:type="character" w:styleId="CommentReference">
    <w:name w:val="annotation reference"/>
    <w:uiPriority w:val="99"/>
    <w:semiHidden/>
    <w:unhideWhenUsed/>
    <w:rsid w:val="00917473"/>
    <w:rPr>
      <w:sz w:val="16"/>
      <w:szCs w:val="16"/>
    </w:rPr>
  </w:style>
  <w:style w:type="character" w:customStyle="1" w:styleId="Heading2Char">
    <w:name w:val="Heading 2 Char"/>
    <w:basedOn w:val="DefaultParagraphFont"/>
    <w:link w:val="Heading2"/>
    <w:uiPriority w:val="9"/>
    <w:semiHidden/>
    <w:rsid w:val="00491166"/>
    <w:rPr>
      <w:rFonts w:asciiTheme="majorHAnsi" w:eastAsiaTheme="majorEastAsia" w:hAnsiTheme="majorHAnsi" w:cstheme="majorBidi"/>
      <w:color w:val="2F5496" w:themeColor="accent1" w:themeShade="BF"/>
      <w:sz w:val="26"/>
      <w:szCs w:val="26"/>
    </w:rPr>
  </w:style>
  <w:style w:type="paragraph" w:styleId="CommentSubject">
    <w:name w:val="annotation subject"/>
    <w:basedOn w:val="CommentText"/>
    <w:next w:val="CommentText"/>
    <w:link w:val="CommentSubjectChar"/>
    <w:uiPriority w:val="99"/>
    <w:semiHidden/>
    <w:unhideWhenUsed/>
    <w:rsid w:val="00FA5FC3"/>
    <w:rPr>
      <w:b/>
      <w:bCs/>
    </w:rPr>
  </w:style>
  <w:style w:type="character" w:customStyle="1" w:styleId="CommentSubjectChar">
    <w:name w:val="Comment Subject Char"/>
    <w:basedOn w:val="CommentTextChar"/>
    <w:link w:val="CommentSubject"/>
    <w:uiPriority w:val="99"/>
    <w:semiHidden/>
    <w:rsid w:val="00FA5FC3"/>
    <w:rPr>
      <w:rFonts w:ascii="Arial" w:eastAsia="Arial" w:hAnsi="Arial" w:cs="Arial"/>
      <w:b/>
      <w:bCs/>
      <w:sz w:val="20"/>
      <w:szCs w:val="20"/>
    </w:rPr>
  </w:style>
  <w:style w:type="character" w:styleId="Hyperlink">
    <w:name w:val="Hyperlink"/>
    <w:uiPriority w:val="99"/>
    <w:unhideWhenUsed/>
    <w:rsid w:val="00B13AF6"/>
    <w:rPr>
      <w:color w:val="0000FF"/>
      <w:u w:val="single"/>
    </w:rPr>
  </w:style>
  <w:style w:type="paragraph" w:styleId="NoSpacing">
    <w:name w:val="No Spacing"/>
    <w:uiPriority w:val="1"/>
    <w:qFormat/>
    <w:rsid w:val="00612299"/>
    <w:pPr>
      <w:spacing w:after="0" w:line="240" w:lineRule="auto"/>
    </w:pPr>
    <w:rPr>
      <w:rFonts w:ascii="Arial" w:eastAsia="Arial" w:hAnsi="Arial" w:cs="Arial"/>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Pr>
      <w:rFonts w:ascii="Arial" w:eastAsia="Arial" w:hAnsi="Arial" w:cs="Arial"/>
      <w:sz w:val="24"/>
      <w:szCs w:val="24"/>
    </w:r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rFonts w:ascii="Arial" w:eastAsia="Arial" w:hAnsi="Arial" w:cs="Arial"/>
      <w:sz w:val="24"/>
      <w:szCs w:val="24"/>
    </w:rPr>
  </w:style>
  <w:style w:type="paragraph" w:styleId="Footer">
    <w:name w:val="footer"/>
    <w:basedOn w:val="Normal"/>
    <w:link w:val="FooterChar"/>
    <w:uiPriority w:val="99"/>
    <w:unhideWhenUsed/>
    <w:pPr>
      <w:tabs>
        <w:tab w:val="center" w:pos="4680"/>
        <w:tab w:val="right" w:pos="9360"/>
      </w:tabs>
      <w:spacing w:line="240" w:lineRule="auto"/>
    </w:pPr>
  </w:style>
  <w:style w:type="character" w:styleId="LineNumber">
    <w:name w:val="line number"/>
    <w:basedOn w:val="DefaultParagraphFont"/>
    <w:uiPriority w:val="99"/>
    <w:semiHidden/>
    <w:unhideWhenUsed/>
    <w:rsid w:val="001169CB"/>
  </w:style>
  <w:style w:type="character" w:styleId="UnresolvedMention">
    <w:name w:val="Unresolved Mention"/>
    <w:basedOn w:val="DefaultParagraphFont"/>
    <w:uiPriority w:val="99"/>
    <w:semiHidden/>
    <w:unhideWhenUsed/>
    <w:rsid w:val="00F97CAB"/>
    <w:rPr>
      <w:color w:val="605E5C"/>
      <w:shd w:val="clear" w:color="auto" w:fill="E1DFDD"/>
    </w:rPr>
  </w:style>
  <w:style w:type="character" w:styleId="FollowedHyperlink">
    <w:name w:val="FollowedHyperlink"/>
    <w:basedOn w:val="DefaultParagraphFont"/>
    <w:uiPriority w:val="99"/>
    <w:semiHidden/>
    <w:unhideWhenUsed/>
    <w:rsid w:val="00C83613"/>
    <w:rPr>
      <w:color w:val="954F72" w:themeColor="followedHyperlink"/>
      <w:u w:val="single"/>
    </w:rPr>
  </w:style>
  <w:style w:type="character" w:customStyle="1" w:styleId="Heading3Char">
    <w:name w:val="Heading 3 Char"/>
    <w:basedOn w:val="DefaultParagraphFont"/>
    <w:link w:val="Heading3"/>
    <w:uiPriority w:val="9"/>
    <w:semiHidden/>
    <w:rsid w:val="004472C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5651949">
      <w:bodyDiv w:val="1"/>
      <w:marLeft w:val="0"/>
      <w:marRight w:val="0"/>
      <w:marTop w:val="0"/>
      <w:marBottom w:val="0"/>
      <w:divBdr>
        <w:top w:val="none" w:sz="0" w:space="0" w:color="auto"/>
        <w:left w:val="none" w:sz="0" w:space="0" w:color="auto"/>
        <w:bottom w:val="none" w:sz="0" w:space="0" w:color="auto"/>
        <w:right w:val="none" w:sz="0" w:space="0" w:color="auto"/>
      </w:divBdr>
    </w:div>
    <w:div w:id="1102140628">
      <w:bodyDiv w:val="1"/>
      <w:marLeft w:val="0"/>
      <w:marRight w:val="0"/>
      <w:marTop w:val="0"/>
      <w:marBottom w:val="0"/>
      <w:divBdr>
        <w:top w:val="none" w:sz="0" w:space="0" w:color="auto"/>
        <w:left w:val="none" w:sz="0" w:space="0" w:color="auto"/>
        <w:bottom w:val="none" w:sz="0" w:space="0" w:color="auto"/>
        <w:right w:val="none" w:sz="0" w:space="0" w:color="auto"/>
      </w:divBdr>
    </w:div>
    <w:div w:id="1155141646">
      <w:bodyDiv w:val="1"/>
      <w:marLeft w:val="0"/>
      <w:marRight w:val="0"/>
      <w:marTop w:val="0"/>
      <w:marBottom w:val="0"/>
      <w:divBdr>
        <w:top w:val="none" w:sz="0" w:space="0" w:color="auto"/>
        <w:left w:val="none" w:sz="0" w:space="0" w:color="auto"/>
        <w:bottom w:val="none" w:sz="0" w:space="0" w:color="auto"/>
        <w:right w:val="none" w:sz="0" w:space="0" w:color="auto"/>
      </w:divBdr>
      <w:divsChild>
        <w:div w:id="422722246">
          <w:marLeft w:val="0"/>
          <w:marRight w:val="0"/>
          <w:marTop w:val="0"/>
          <w:marBottom w:val="0"/>
          <w:divBdr>
            <w:top w:val="none" w:sz="0" w:space="0" w:color="auto"/>
            <w:left w:val="none" w:sz="0" w:space="0" w:color="auto"/>
            <w:bottom w:val="none" w:sz="0" w:space="0" w:color="auto"/>
            <w:right w:val="none" w:sz="0" w:space="0" w:color="auto"/>
          </w:divBdr>
          <w:divsChild>
            <w:div w:id="202554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BFA11-959C-4CA7-8E69-D8421D617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1042</Words>
  <Characters>5943</Characters>
  <Application>Microsoft Office Word</Application>
  <DocSecurity>0</DocSecurity>
  <Lines>49</Lines>
  <Paragraphs>13</Paragraphs>
  <ScaleCrop>false</ScaleCrop>
  <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2021-02-23T15:49:00Z</dcterms:created>
  <dcterms:modified xsi:type="dcterms:W3CDTF">2021-02-23T16:06:00Z</dcterms:modified>
</cp:coreProperties>
</file>