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346F" w14:textId="77777777" w:rsidR="00762201" w:rsidRPr="009962C8" w:rsidRDefault="00762201" w:rsidP="00762201">
      <w:pPr>
        <w:widowControl w:val="0"/>
        <w:spacing w:line="480" w:lineRule="auto"/>
        <w:jc w:val="both"/>
        <w:rPr>
          <w:b/>
        </w:rPr>
      </w:pPr>
      <w:r w:rsidRPr="009962C8">
        <w:rPr>
          <w:b/>
        </w:rPr>
        <w:t xml:space="preserve">Supplemental </w:t>
      </w:r>
      <w:r>
        <w:rPr>
          <w:b/>
        </w:rPr>
        <w:t>Data</w:t>
      </w:r>
    </w:p>
    <w:p w14:paraId="63955838" w14:textId="77777777" w:rsidR="00762201" w:rsidRPr="009962C8" w:rsidRDefault="00762201" w:rsidP="00762201">
      <w:pPr>
        <w:spacing w:line="480" w:lineRule="auto"/>
      </w:pPr>
    </w:p>
    <w:p w14:paraId="73664AA3" w14:textId="77777777" w:rsidR="00762201" w:rsidRPr="009962C8" w:rsidRDefault="00762201" w:rsidP="00762201">
      <w:pPr>
        <w:spacing w:line="480" w:lineRule="auto"/>
        <w:rPr>
          <w:b/>
        </w:rPr>
      </w:pPr>
    </w:p>
    <w:p w14:paraId="364A3771" w14:textId="77777777" w:rsidR="00762201" w:rsidRPr="009962C8" w:rsidRDefault="00762201" w:rsidP="00762201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46676D4E" wp14:editId="08D92C05">
            <wp:extent cx="5943600" cy="31496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Fig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B700" w14:textId="77777777" w:rsidR="00762201" w:rsidRPr="009962C8" w:rsidRDefault="00762201" w:rsidP="00762201">
      <w:pPr>
        <w:spacing w:line="480" w:lineRule="auto"/>
        <w:rPr>
          <w:b/>
        </w:rPr>
      </w:pPr>
    </w:p>
    <w:p w14:paraId="52A269BE" w14:textId="77777777" w:rsidR="00762201" w:rsidRPr="009962C8" w:rsidRDefault="00762201" w:rsidP="00762201">
      <w:pPr>
        <w:spacing w:line="480" w:lineRule="auto"/>
      </w:pPr>
      <w:r w:rsidRPr="009962C8">
        <w:rPr>
          <w:b/>
        </w:rPr>
        <w:t xml:space="preserve">Figure </w:t>
      </w:r>
      <w:r>
        <w:rPr>
          <w:b/>
        </w:rPr>
        <w:t>S</w:t>
      </w:r>
      <w:r w:rsidRPr="009962C8">
        <w:rPr>
          <w:b/>
        </w:rPr>
        <w:t xml:space="preserve">1. Impact of </w:t>
      </w:r>
      <w:proofErr w:type="spellStart"/>
      <w:r w:rsidRPr="009962C8">
        <w:rPr>
          <w:b/>
        </w:rPr>
        <w:t>ChIP</w:t>
      </w:r>
      <w:proofErr w:type="spellEnd"/>
      <w:r w:rsidRPr="009962C8">
        <w:rPr>
          <w:b/>
        </w:rPr>
        <w:t xml:space="preserve"> normalization on centromere size measurements.</w:t>
      </w:r>
      <w:r w:rsidRPr="009962C8">
        <w:t xml:space="preserve"> (A) The 5 Mb centromere core region for centromere 5 in the inbred IL14H. The regions around this 5 Mb domain were defined as background. (B) CENH3-ChIP profiles of four IL14H biological replicates of centromere 5 before scaling. (C) The same four biological replicates after normalizing for </w:t>
      </w:r>
      <w:proofErr w:type="spellStart"/>
      <w:r w:rsidRPr="009962C8">
        <w:t>ChIP</w:t>
      </w:r>
      <w:proofErr w:type="spellEnd"/>
      <w:r w:rsidRPr="009962C8">
        <w:t xml:space="preserve"> efficiency. The window size is 10 Mb.</w:t>
      </w:r>
    </w:p>
    <w:p w14:paraId="3BBF89B2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3E124C2E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5F01445F" w14:textId="77777777" w:rsidR="00762201" w:rsidRPr="009962C8" w:rsidRDefault="00762201" w:rsidP="00762201">
      <w:pPr>
        <w:widowControl w:val="0"/>
        <w:spacing w:line="480" w:lineRule="auto"/>
      </w:pPr>
    </w:p>
    <w:p w14:paraId="4EA8CB2D" w14:textId="77777777" w:rsidR="00762201" w:rsidRPr="00696001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0E7A77C3" wp14:editId="0B51334F">
            <wp:extent cx="5943600" cy="5895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Fi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4EF2" w14:textId="77777777" w:rsidR="00762201" w:rsidRPr="00A4400B" w:rsidRDefault="00762201" w:rsidP="00762201">
      <w:pPr>
        <w:widowControl w:val="0"/>
        <w:spacing w:line="480" w:lineRule="auto"/>
      </w:pPr>
      <w:r w:rsidRPr="009962C8">
        <w:rPr>
          <w:b/>
        </w:rPr>
        <w:t xml:space="preserve">Figure </w:t>
      </w:r>
      <w:r>
        <w:rPr>
          <w:b/>
        </w:rPr>
        <w:t>S</w:t>
      </w:r>
      <w:r w:rsidRPr="009962C8">
        <w:rPr>
          <w:b/>
        </w:rPr>
        <w:t xml:space="preserve">2. Comparison of B73 centromeres to those in Oaxaca and </w:t>
      </w:r>
      <w:proofErr w:type="spellStart"/>
      <w:r w:rsidRPr="009962C8">
        <w:rPr>
          <w:b/>
          <w:i/>
        </w:rPr>
        <w:t>Zea</w:t>
      </w:r>
      <w:proofErr w:type="spellEnd"/>
      <w:r w:rsidRPr="009962C8">
        <w:rPr>
          <w:b/>
          <w:i/>
        </w:rPr>
        <w:t xml:space="preserve"> </w:t>
      </w:r>
      <w:proofErr w:type="spellStart"/>
      <w:r w:rsidRPr="009962C8">
        <w:rPr>
          <w:b/>
          <w:i/>
        </w:rPr>
        <w:t>luxurians</w:t>
      </w:r>
      <w:proofErr w:type="spellEnd"/>
      <w:r w:rsidRPr="009962C8">
        <w:rPr>
          <w:b/>
        </w:rPr>
        <w:t>.</w:t>
      </w:r>
      <w:r w:rsidRPr="009962C8">
        <w:t xml:space="preserve"> (A) CENH3 </w:t>
      </w:r>
      <w:proofErr w:type="spellStart"/>
      <w:r w:rsidRPr="009962C8">
        <w:t>ChIP</w:t>
      </w:r>
      <w:proofErr w:type="spellEnd"/>
      <w:r w:rsidRPr="009962C8">
        <w:t xml:space="preserve">-seq profiles for seven B73 and Oaxaca centromeres mapped to the B73 reference. The data are from a single heterozygous plant. (B) CENH3 </w:t>
      </w:r>
      <w:proofErr w:type="spellStart"/>
      <w:r w:rsidRPr="009962C8">
        <w:t>ChIP</w:t>
      </w:r>
      <w:proofErr w:type="spellEnd"/>
      <w:r w:rsidRPr="009962C8">
        <w:t xml:space="preserve">-seq profiles for seven B73 and </w:t>
      </w:r>
      <w:proofErr w:type="spellStart"/>
      <w:r w:rsidRPr="009962C8">
        <w:rPr>
          <w:i/>
        </w:rPr>
        <w:t>Zea</w:t>
      </w:r>
      <w:proofErr w:type="spellEnd"/>
      <w:r w:rsidRPr="009962C8">
        <w:rPr>
          <w:i/>
        </w:rPr>
        <w:t xml:space="preserve"> </w:t>
      </w:r>
      <w:proofErr w:type="spellStart"/>
      <w:r w:rsidRPr="009962C8">
        <w:rPr>
          <w:i/>
        </w:rPr>
        <w:t>luxurians</w:t>
      </w:r>
      <w:proofErr w:type="spellEnd"/>
      <w:r w:rsidRPr="009962C8">
        <w:rPr>
          <w:i/>
        </w:rPr>
        <w:t xml:space="preserve"> </w:t>
      </w:r>
      <w:r w:rsidRPr="009962C8">
        <w:t xml:space="preserve">centromeres mapped to the B73 reference. The data are from a single heterozygous plant. There appears to be no centromeres in </w:t>
      </w:r>
      <w:proofErr w:type="spellStart"/>
      <w:r>
        <w:rPr>
          <w:i/>
        </w:rPr>
        <w:t>Zea</w:t>
      </w:r>
      <w:proofErr w:type="spellEnd"/>
      <w:r w:rsidRPr="009962C8">
        <w:rPr>
          <w:i/>
        </w:rPr>
        <w:t xml:space="preserve"> </w:t>
      </w:r>
      <w:proofErr w:type="spellStart"/>
      <w:r w:rsidRPr="009962C8">
        <w:rPr>
          <w:i/>
        </w:rPr>
        <w:t>luxurians</w:t>
      </w:r>
      <w:proofErr w:type="spellEnd"/>
      <w:r w:rsidRPr="009962C8">
        <w:rPr>
          <w:i/>
        </w:rPr>
        <w:t xml:space="preserve"> </w:t>
      </w:r>
      <w:r w:rsidRPr="009962C8">
        <w:t xml:space="preserve">because the centromeres are embedded in long </w:t>
      </w:r>
      <w:proofErr w:type="spellStart"/>
      <w:r w:rsidRPr="009962C8">
        <w:t>CentC</w:t>
      </w:r>
      <w:proofErr w:type="spellEnd"/>
      <w:r w:rsidRPr="009962C8">
        <w:t xml:space="preserve"> arrays that lack homology to the B73 reference. The window size is 10Mb.</w:t>
      </w:r>
    </w:p>
    <w:p w14:paraId="2DEC6C56" w14:textId="77777777" w:rsidR="00762201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</w:p>
    <w:p w14:paraId="6204F196" w14:textId="77777777" w:rsidR="00762201" w:rsidRPr="009962C8" w:rsidRDefault="00762201" w:rsidP="00762201">
      <w:pPr>
        <w:widowControl w:val="0"/>
        <w:spacing w:line="480" w:lineRule="auto"/>
        <w:jc w:val="both"/>
        <w:rPr>
          <w:b/>
        </w:rPr>
      </w:pPr>
      <w:r w:rsidRPr="009962C8">
        <w:rPr>
          <w:b/>
        </w:rPr>
        <w:t xml:space="preserve">Table </w:t>
      </w:r>
      <w:r>
        <w:rPr>
          <w:b/>
        </w:rPr>
        <w:t>S1</w:t>
      </w:r>
      <w:r w:rsidRPr="009962C8">
        <w:rPr>
          <w:b/>
        </w:rPr>
        <w:t xml:space="preserve">. </w:t>
      </w:r>
      <w:proofErr w:type="spellStart"/>
      <w:r w:rsidRPr="009962C8">
        <w:rPr>
          <w:b/>
        </w:rPr>
        <w:t>ChIP</w:t>
      </w:r>
      <w:proofErr w:type="spellEnd"/>
      <w:r w:rsidRPr="009962C8">
        <w:rPr>
          <w:b/>
        </w:rPr>
        <w:t xml:space="preserve"> datasets generated in this study.</w:t>
      </w:r>
    </w:p>
    <w:p w14:paraId="72B4F93B" w14:textId="77777777" w:rsidR="00762201" w:rsidRPr="009962C8" w:rsidRDefault="00762201" w:rsidP="00762201">
      <w:pPr>
        <w:widowControl w:val="0"/>
        <w:spacing w:line="480" w:lineRule="auto"/>
        <w:jc w:val="both"/>
      </w:pPr>
      <w:r w:rsidRPr="009962C8">
        <w:rPr>
          <w:noProof/>
        </w:rPr>
        <w:drawing>
          <wp:inline distT="0" distB="0" distL="0" distR="0" wp14:anchorId="452A0B68" wp14:editId="790466F9">
            <wp:extent cx="5943600" cy="39782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424C" w14:textId="77777777" w:rsidR="00762201" w:rsidRPr="009962C8" w:rsidRDefault="00762201" w:rsidP="00762201">
      <w:pPr>
        <w:widowControl w:val="0"/>
        <w:spacing w:line="480" w:lineRule="auto"/>
        <w:jc w:val="both"/>
      </w:pPr>
      <w:r w:rsidRPr="009962C8">
        <w:rPr>
          <w:vertAlign w:val="superscript"/>
        </w:rPr>
        <w:t xml:space="preserve">1 </w:t>
      </w:r>
      <w:r>
        <w:t>G</w:t>
      </w:r>
      <w:r w:rsidRPr="009962C8">
        <w:t>enome size</w:t>
      </w:r>
      <w:r>
        <w:t>s</w:t>
      </w:r>
      <w:r w:rsidRPr="009962C8">
        <w:t xml:space="preserve"> are from </w:t>
      </w:r>
      <w:hyperlink r:id="rId9">
        <w:r w:rsidRPr="009962C8">
          <w:rPr>
            <w:color w:val="000000"/>
          </w:rPr>
          <w:t xml:space="preserve">(Chia </w:t>
        </w:r>
      </w:hyperlink>
      <w:hyperlink r:id="rId10">
        <w:r w:rsidRPr="009962C8">
          <w:rPr>
            <w:i/>
            <w:color w:val="000000"/>
          </w:rPr>
          <w:t>et al.</w:t>
        </w:r>
      </w:hyperlink>
      <w:hyperlink r:id="rId11">
        <w:r w:rsidRPr="009962C8">
          <w:rPr>
            <w:color w:val="000000"/>
          </w:rPr>
          <w:t xml:space="preserve"> 2012)</w:t>
        </w:r>
      </w:hyperlink>
      <w:r w:rsidRPr="009962C8">
        <w:t>.</w:t>
      </w:r>
    </w:p>
    <w:p w14:paraId="215E2CD0" w14:textId="77777777" w:rsidR="00762201" w:rsidRDefault="00762201" w:rsidP="00762201">
      <w:pPr>
        <w:rPr>
          <w:b/>
        </w:rPr>
      </w:pPr>
      <w:r>
        <w:rPr>
          <w:b/>
        </w:rPr>
        <w:br w:type="page"/>
      </w:r>
    </w:p>
    <w:p w14:paraId="34E9DAD1" w14:textId="77777777" w:rsidR="00762201" w:rsidRPr="009962C8" w:rsidRDefault="00762201" w:rsidP="00762201">
      <w:pPr>
        <w:widowControl w:val="0"/>
        <w:spacing w:line="480" w:lineRule="auto"/>
      </w:pPr>
      <w:r w:rsidRPr="009962C8">
        <w:rPr>
          <w:b/>
        </w:rPr>
        <w:lastRenderedPageBreak/>
        <w:t xml:space="preserve">Table </w:t>
      </w:r>
      <w:r>
        <w:rPr>
          <w:b/>
        </w:rPr>
        <w:t>S2</w:t>
      </w:r>
      <w:r w:rsidRPr="009962C8">
        <w:rPr>
          <w:b/>
        </w:rPr>
        <w:t>. Genome sizes measured in this study.</w:t>
      </w:r>
      <w:r w:rsidRPr="009962C8">
        <w:t xml:space="preserve"> Measured genome sizes were divided by the average size of the six B73 samples. </w:t>
      </w:r>
    </w:p>
    <w:p w14:paraId="0A7C40B2" w14:textId="77777777" w:rsidR="00762201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</w:rPr>
      </w:pPr>
      <w:r w:rsidRPr="009962C8">
        <w:rPr>
          <w:noProof/>
        </w:rPr>
        <w:drawing>
          <wp:inline distT="0" distB="0" distL="0" distR="0" wp14:anchorId="38EF68A0" wp14:editId="538D99DD">
            <wp:extent cx="4940300" cy="66929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2C8">
        <w:t xml:space="preserve">b </w:t>
      </w:r>
      <w:r>
        <w:rPr>
          <w:b/>
        </w:rPr>
        <w:br w:type="page"/>
      </w:r>
    </w:p>
    <w:p w14:paraId="5BCAAC0D" w14:textId="77777777" w:rsidR="00762201" w:rsidRPr="009962C8" w:rsidRDefault="00762201" w:rsidP="00762201">
      <w:pPr>
        <w:widowControl w:val="0"/>
        <w:spacing w:line="480" w:lineRule="auto"/>
        <w:jc w:val="both"/>
        <w:rPr>
          <w:b/>
        </w:rPr>
      </w:pPr>
      <w:r w:rsidRPr="009962C8">
        <w:rPr>
          <w:b/>
        </w:rPr>
        <w:lastRenderedPageBreak/>
        <w:t xml:space="preserve">Table </w:t>
      </w:r>
      <w:r>
        <w:rPr>
          <w:b/>
        </w:rPr>
        <w:t>S3</w:t>
      </w:r>
      <w:r w:rsidRPr="009962C8">
        <w:rPr>
          <w:b/>
        </w:rPr>
        <w:t xml:space="preserve">. Primers used in this study. </w:t>
      </w:r>
    </w:p>
    <w:p w14:paraId="09376231" w14:textId="77777777" w:rsidR="00762201" w:rsidRPr="009962C8" w:rsidRDefault="00762201" w:rsidP="00762201">
      <w:pPr>
        <w:widowControl w:val="0"/>
        <w:spacing w:line="480" w:lineRule="auto"/>
        <w:jc w:val="both"/>
      </w:pPr>
      <w:r w:rsidRPr="009962C8">
        <w:rPr>
          <w:noProof/>
        </w:rPr>
        <w:drawing>
          <wp:inline distT="0" distB="0" distL="0" distR="0" wp14:anchorId="7A54A805" wp14:editId="1CBEC7DF">
            <wp:extent cx="5943600" cy="407733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A1C2" w14:textId="77777777" w:rsidR="00762201" w:rsidRDefault="00762201" w:rsidP="00762201">
      <w:pPr>
        <w:rPr>
          <w:b/>
        </w:rPr>
      </w:pPr>
      <w:r>
        <w:rPr>
          <w:b/>
        </w:rPr>
        <w:br w:type="page"/>
      </w:r>
    </w:p>
    <w:p w14:paraId="28504C8B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9962C8">
        <w:rPr>
          <w:b/>
        </w:rPr>
        <w:lastRenderedPageBreak/>
        <w:t xml:space="preserve">Table </w:t>
      </w:r>
      <w:r>
        <w:rPr>
          <w:b/>
        </w:rPr>
        <w:t>S4</w:t>
      </w:r>
      <w:r w:rsidRPr="009962C8">
        <w:t xml:space="preserve">. </w:t>
      </w:r>
      <w:r w:rsidRPr="009962C8">
        <w:rPr>
          <w:b/>
        </w:rPr>
        <w:t>Genome and centromere sizes in Oaxaca X B73 hybrids.</w:t>
      </w:r>
      <w:r w:rsidRPr="009962C8">
        <w:t xml:space="preserve"> Genome sizes were not measured for the plants subjected to </w:t>
      </w:r>
      <w:proofErr w:type="spellStart"/>
      <w:r w:rsidRPr="009962C8">
        <w:t>ChIP</w:t>
      </w:r>
      <w:proofErr w:type="spellEnd"/>
      <w:r w:rsidRPr="009962C8">
        <w:t xml:space="preserve">. The genome sizes shown are averages of multiple sibling individuals measured from the same ears (Supplemental Table </w:t>
      </w:r>
      <w:r>
        <w:t>2</w:t>
      </w:r>
      <w:r w:rsidRPr="009962C8">
        <w:t>). For centromere sizes, the unit of measure is bp.</w:t>
      </w:r>
    </w:p>
    <w:p w14:paraId="2B954BC3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 w:rsidRPr="009962C8">
        <w:rPr>
          <w:noProof/>
        </w:rPr>
        <w:drawing>
          <wp:inline distT="0" distB="0" distL="0" distR="0" wp14:anchorId="5E0679D2" wp14:editId="397C55E4">
            <wp:extent cx="5943600" cy="37642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83476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19514453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5DB6D322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49CE94EB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 w:rsidRPr="009962C8">
        <w:br w:type="page"/>
      </w:r>
    </w:p>
    <w:p w14:paraId="1533E5D9" w14:textId="77777777" w:rsidR="00762201" w:rsidRPr="009962C8" w:rsidRDefault="00762201" w:rsidP="00762201">
      <w:pPr>
        <w:widowControl w:val="0"/>
        <w:spacing w:line="480" w:lineRule="auto"/>
      </w:pPr>
      <w:r w:rsidRPr="009962C8">
        <w:rPr>
          <w:b/>
        </w:rPr>
        <w:lastRenderedPageBreak/>
        <w:t xml:space="preserve">Table </w:t>
      </w:r>
      <w:r>
        <w:rPr>
          <w:b/>
        </w:rPr>
        <w:t>S5</w:t>
      </w:r>
      <w:r w:rsidRPr="009962C8">
        <w:rPr>
          <w:b/>
        </w:rPr>
        <w:t xml:space="preserve">. Genome and centromere sizes in B73 X </w:t>
      </w:r>
      <w:proofErr w:type="spellStart"/>
      <w:r w:rsidRPr="00BF39A0">
        <w:rPr>
          <w:b/>
          <w:i/>
          <w:iCs/>
        </w:rPr>
        <w:t>Zea</w:t>
      </w:r>
      <w:proofErr w:type="spellEnd"/>
      <w:r w:rsidRPr="00BF39A0">
        <w:rPr>
          <w:b/>
          <w:i/>
          <w:iCs/>
        </w:rPr>
        <w:t xml:space="preserve"> </w:t>
      </w:r>
      <w:proofErr w:type="spellStart"/>
      <w:r w:rsidRPr="00BF39A0">
        <w:rPr>
          <w:b/>
          <w:i/>
          <w:iCs/>
        </w:rPr>
        <w:t>luxurians</w:t>
      </w:r>
      <w:proofErr w:type="spellEnd"/>
      <w:r w:rsidRPr="009962C8">
        <w:rPr>
          <w:b/>
        </w:rPr>
        <w:t xml:space="preserve"> hybrids.</w:t>
      </w:r>
      <w:r w:rsidRPr="009962C8">
        <w:t xml:space="preserve"> Genome sizes were not measured for the plants subjected to </w:t>
      </w:r>
      <w:proofErr w:type="spellStart"/>
      <w:r w:rsidRPr="009962C8">
        <w:t>ChIP</w:t>
      </w:r>
      <w:proofErr w:type="spellEnd"/>
      <w:r w:rsidRPr="009962C8">
        <w:t xml:space="preserve">. The genome sizes shown are averages of multiple sibling individuals measured from the same ears (Supplemental Table </w:t>
      </w:r>
      <w:r>
        <w:t>2</w:t>
      </w:r>
      <w:r w:rsidRPr="009962C8">
        <w:t>). For centromere sizes, the unit of measure is bp.</w:t>
      </w:r>
    </w:p>
    <w:p w14:paraId="03056D95" w14:textId="77777777" w:rsidR="00762201" w:rsidRPr="009962C8" w:rsidRDefault="00762201" w:rsidP="00762201">
      <w:pPr>
        <w:widowControl w:val="0"/>
        <w:spacing w:line="480" w:lineRule="auto"/>
        <w:jc w:val="both"/>
      </w:pPr>
      <w:r w:rsidRPr="009962C8">
        <w:rPr>
          <w:noProof/>
        </w:rPr>
        <w:drawing>
          <wp:inline distT="0" distB="0" distL="0" distR="0" wp14:anchorId="71F7D52E" wp14:editId="4BBA3F3F">
            <wp:extent cx="5943600" cy="31330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A601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5E7222AB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5BA8F4B3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7BC04F84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1BB768A7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66367F25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53B89C49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6C50814C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677D2636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472FCB25" w14:textId="77777777" w:rsidR="00762201" w:rsidRPr="009962C8" w:rsidRDefault="00762201" w:rsidP="00762201">
      <w:pPr>
        <w:widowControl w:val="0"/>
        <w:spacing w:line="480" w:lineRule="auto"/>
        <w:jc w:val="both"/>
      </w:pPr>
    </w:p>
    <w:p w14:paraId="0F912901" w14:textId="77777777" w:rsidR="00762201" w:rsidRDefault="00762201" w:rsidP="00762201">
      <w:pPr>
        <w:rPr>
          <w:b/>
        </w:rPr>
      </w:pPr>
      <w:r>
        <w:rPr>
          <w:b/>
        </w:rPr>
        <w:br w:type="page"/>
      </w:r>
    </w:p>
    <w:p w14:paraId="4EDEC7AE" w14:textId="77777777" w:rsidR="00762201" w:rsidRDefault="00762201" w:rsidP="00762201">
      <w:pPr>
        <w:widowControl w:val="0"/>
        <w:jc w:val="both"/>
        <w:rPr>
          <w:b/>
        </w:rPr>
      </w:pPr>
      <w:r>
        <w:rPr>
          <w:b/>
        </w:rPr>
        <w:lastRenderedPageBreak/>
        <w:t xml:space="preserve">Table S6. Sequence Read Archive run IDs for all </w:t>
      </w:r>
      <w:proofErr w:type="spellStart"/>
      <w:r>
        <w:rPr>
          <w:b/>
        </w:rPr>
        <w:t>ChIP</w:t>
      </w:r>
      <w:proofErr w:type="spellEnd"/>
      <w:r>
        <w:rPr>
          <w:b/>
        </w:rPr>
        <w:t xml:space="preserve"> data used in this study.</w:t>
      </w:r>
    </w:p>
    <w:p w14:paraId="539F4084" w14:textId="77777777" w:rsidR="00762201" w:rsidRDefault="00762201" w:rsidP="00762201">
      <w:pPr>
        <w:widowControl w:val="0"/>
        <w:jc w:val="both"/>
        <w:rPr>
          <w:b/>
        </w:rPr>
      </w:pPr>
    </w:p>
    <w:tbl>
      <w:tblPr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2"/>
        <w:gridCol w:w="1348"/>
        <w:gridCol w:w="1438"/>
        <w:gridCol w:w="1064"/>
        <w:gridCol w:w="1064"/>
        <w:gridCol w:w="944"/>
        <w:gridCol w:w="628"/>
        <w:gridCol w:w="703"/>
        <w:gridCol w:w="838"/>
      </w:tblGrid>
      <w:tr w:rsidR="00762201" w14:paraId="5D07D7B4" w14:textId="77777777" w:rsidTr="00CE10BD">
        <w:trPr>
          <w:trHeight w:val="283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AEDC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Sample_name</w:t>
            </w:r>
            <w:proofErr w:type="spellEnd"/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0E5B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Species/</w:t>
            </w:r>
          </w:p>
          <w:p w14:paraId="1F79E2C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subspecies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D5D0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Cultivar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5ED7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>Accession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3E2F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ChIP</w:t>
            </w:r>
            <w:proofErr w:type="spellEnd"/>
            <w:r>
              <w:rPr>
                <w:sz w:val="12"/>
                <w:szCs w:val="12"/>
              </w:rPr>
              <w:t xml:space="preserve"> SRA run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71DC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input SRA run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E6BC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Library</w:t>
            </w:r>
          </w:p>
          <w:p w14:paraId="3778C3C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layout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A612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Tissue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E35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Reference</w:t>
            </w:r>
          </w:p>
        </w:tc>
      </w:tr>
      <w:tr w:rsidR="00762201" w14:paraId="1D016C2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AEA9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CML103_1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5457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5E38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7A0D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150C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SRR12023802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5073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2747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9D40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638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0B6B25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E427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CML103_2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DC6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A16B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651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1B8C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A67E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02EC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F74C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043D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025CC02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4B8C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CML277_1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955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DDA3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240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AEA0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AF7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551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635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0C04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0A9092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7A2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CML277_2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1B43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532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1F2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6342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A98B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2D18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B80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BCC4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7541A58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FED1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446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6F98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09EE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C76A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0DF1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BBAA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4096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8CC5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2401AA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37BC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185D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9956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55EA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CABB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397A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D4F7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E367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C297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F336B1E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ADFF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DFCA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1DC1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6621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EA5A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5336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20AC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440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0D76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6FC993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57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HP301_1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A8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1EEA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HP301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BA6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8F84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9D8B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AE5C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DD73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61D3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C19265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E5D4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HP301_2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C0F4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3FFE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HP301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BF4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A724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E9CC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164B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1CC4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757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7390F11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0467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B6CD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B3D7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1AB0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B69F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BE4B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23A1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B56B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A02C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23E73A4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3CE4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E329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8BE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6CBA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0C93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36E1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3238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79EB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142D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172C30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7619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810B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5DFB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397B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112F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1576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239A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502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0A5B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9F94C34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054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0F45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AAA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675D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2D06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2EF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3CAB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4E77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E67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809A87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D531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957E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C5E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B58E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F81C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23E3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9305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0AFE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92E7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6656BBA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0870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9721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B701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80CF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6BED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521A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865F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DC42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BB25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AB1991C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2A7E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Ki3_1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0CB0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A5BA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C17A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32C4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77FF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4A8C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CA4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F18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FD56B4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B83D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Ki3_2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E941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347C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4D9C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3B49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49C8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664A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1151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20D5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4E4FE3A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0C1D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NC350_1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8CFC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82FD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NC350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FC1B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54D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AA00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A1F0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564B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5FFD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60D401A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9BB1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NC350_2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BD1F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23AA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NC350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02D2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0CB8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D6AF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C520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4A6E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387C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F153BF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0F89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Oh7b_1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E90B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211E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Oh7b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65DF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0387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2A51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3387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93AE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50FA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FE5BF3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9B66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Oh7b_2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7D1E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B889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Oh7b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4F41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5A06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4FA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4ECF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3D97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B396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25625C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6886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C0AA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1485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1EB4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B03F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FA8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264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10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7A94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9E76AA8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BE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B61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7EE7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34D9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3E92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547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8FDC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472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FD7D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E1EE72A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80E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5F26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0CE8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0EA7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F98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FBB5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05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99ED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FDA1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681861A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740A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Tzi8_1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80D0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88E8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Tzi8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0987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5519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D13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2102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1CA9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594F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02453F61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2654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Tzi8_2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3C90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3FDF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Tzi8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2C0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4BB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916C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C8B3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5A78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CB1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8A1BA26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D1AE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B73_4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E896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B2C9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93D7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8F8E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SRR12023803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229A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50D8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4419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61AD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FA750F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F154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F231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250A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DA11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AAC1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84D3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7EC0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7DF8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817D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49800CD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B21D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D77A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490B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FD1A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A0CF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F524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3D6F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9A60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349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F77C7C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3ACF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02AC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59EA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3893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4C1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5EB0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535D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F66F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D5D0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D8A508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7705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D6DA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58F4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6027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A46A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48AC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D74B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2C08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102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90684D6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FAFF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F8D9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7F6C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319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541C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94AA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0EC6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B586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A7D5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8385007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2DB9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FCFA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E2D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A66C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533D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363C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78F8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902F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43D1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3403F2C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310F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F51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1310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1D38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B8AB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4CD8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2EA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36D2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F12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4B7DC74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4361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C695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256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8489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586A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C48C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0E16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3B72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5833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727D57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113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OaxB73_F2_9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DC12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8815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9D9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033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D793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05F8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E174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F2EE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5C4FEAC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45BB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F828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E4EA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B401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5B44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0E08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3713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C20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C4C3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0DDE3CEC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AEFC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CFF8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3C94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D0CC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FBE1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CD1C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95D9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86BE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6FE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166E60A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3DAF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3F62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B18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3579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364D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1509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EB18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DC37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F846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088E20C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3F52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1E6F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651F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27DF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655E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A402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D069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1CB0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7C4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E60D4F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4DF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A006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E2E9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DE8B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48A9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6B1B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C2C3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9346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C98D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3FFFA71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5CAD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350C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FB96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800F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A53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0CF8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56FD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14F9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8548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B444A58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77F6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EFDF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1B01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D478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284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02F9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FC73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99A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1BE0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D991E5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4E97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E19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3B2C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ED88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4C6F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3015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69B1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248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6BB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EF313E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D126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7880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A5E7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DB7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B60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AAF1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C9B0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4AE9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BB10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6D119D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FBEA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264A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D812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1F2B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84BA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A963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27CD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B7C4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75A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C0BBEF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8CBD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080D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BCFF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6D78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4B5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58D4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48A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29A7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CC76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F6EE631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B162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E98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9D4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67AE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6349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CF0B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C084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67D8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AC04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27A3A86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1B87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DD4A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4632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C065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BFC2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5B8D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FF09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D68F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151C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341EA8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3DF4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OaxB73_BC1F2_18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8796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67ED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D0C2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8B67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C11A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EE0A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D597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DC1D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034043D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F61D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OaxB73_BC1F2_19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82C7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E00F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OaxB73_BC1F2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888C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4343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376B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F5EA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EB0F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6CE9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0EAEAC57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6249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B73lux_F1_1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62D7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A13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F92E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44A3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F07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421B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62C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0BC2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41466F6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631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B73lux_F1_2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099A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244A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F7C2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9B4D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B4E1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5B6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1C40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ED7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BABA4BC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ED3E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B73lux_F1_3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BA9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9970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4E56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0864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CACB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B78B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21AA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732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D8EBE0E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BA1C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A354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A7A1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9F4D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35A1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4DB3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B585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8459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278B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0328011B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DFF4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7C2C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820B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CC15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1CF7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FFBB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96BC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7D31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AA6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04C87A7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F284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8D98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CECB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169C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35CC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ABFD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F7A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656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C357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01E33A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CCE9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B73lux_F2_4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E1DD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AC62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076E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D256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0927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FEC5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9E0C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0133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788A27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014C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B73lux_F2_5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A46A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624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8F14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D567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AB7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4199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CDB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1605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35B9A9E8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CD0E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B73lux_F2_6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6C71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0BEC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2E68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3936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AAAA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10F5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6A4E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0BDA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455B9A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8002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9931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D579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5FB1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AD4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9287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1801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BFB1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CDA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8BF65A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167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CC6A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E127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74DC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958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ACFD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E0E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8563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124D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AA266D6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AD8A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698F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655A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1BEE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5F49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5400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68AC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21F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F4F5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A7D68B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FF11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1C96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8C63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91C9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AF3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1E78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A65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94D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803F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39F183E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6CE4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3800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3ACB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6B5D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AB12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AF9E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24A3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51EE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E78D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0F77E2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1BC3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E84F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EC7C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3CA6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9B85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243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81B1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32C0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CBB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22BFBB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ECC5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23EA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B9CE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0634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73C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277D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CC8E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31BA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9C80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22D8E0CB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FA9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1305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98B3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ED3F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65E6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1888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FE32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6B3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111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62220ED6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48BE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B73lux_BC1F2_19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7498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subsp. mays x </w:t>
            </w: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C6D3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B73lux_BC1F2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711E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7926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95DE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5306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DC69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6D8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185F3ED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0218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trangenic_WT_1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20BB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8014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621E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EEF8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82E1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019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30AF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7C0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9E930E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ACCC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trangenic_WT_2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E756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B20C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224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DD46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A991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FABC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D890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F5B2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41F570D4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4DA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trangenic_WT_3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820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84F6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B93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44F2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E280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31EC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06D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3447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7491FAA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63D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trangenic_Ox_1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B577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85B6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78E6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FF04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2616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EF25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422F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D2C8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07D9B0C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8C62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trangenic_Ox_2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CED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7F3A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B928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03F3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637C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7F2C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918A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2A0A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14EF7C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FD68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trangenic_Ox_3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4D14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D766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3E63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PRJNA639705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3D0E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SRR12023731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2109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39FE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9AD4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9EA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study</w:t>
            </w:r>
          </w:p>
        </w:tc>
      </w:tr>
      <w:tr w:rsidR="00762201" w14:paraId="570F080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4324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MS71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AD03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203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MS71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2F0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A1464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16">
              <w:r w:rsidR="00762201">
                <w:rPr>
                  <w:sz w:val="12"/>
                  <w:szCs w:val="12"/>
                </w:rPr>
                <w:t>SRR2994641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D06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7F79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3A9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50B5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01940C6D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3809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Mo18W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9D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C975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Mo18W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5A10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FF9B1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17">
              <w:r w:rsidR="00762201">
                <w:rPr>
                  <w:sz w:val="12"/>
                  <w:szCs w:val="12"/>
                </w:rPr>
                <w:t>SRR3018349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AB4E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B8F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79D2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4CE1E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5D5D7A75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D559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8565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55BE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46F1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7611B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18">
              <w:r w:rsidR="00762201">
                <w:rPr>
                  <w:sz w:val="12"/>
                  <w:szCs w:val="12"/>
                </w:rPr>
                <w:t>SRR3018373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5442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3F2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3F42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A5721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2CD6A361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FC2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40C8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25CC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D48A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92821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19">
              <w:r w:rsidR="00762201">
                <w:rPr>
                  <w:sz w:val="12"/>
                  <w:szCs w:val="12"/>
                </w:rPr>
                <w:t>SRR3018392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53E5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4C2C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22BB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3948C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620D9D7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7A3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C19E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A7F0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8B7D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09946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0">
              <w:r w:rsidR="00762201">
                <w:rPr>
                  <w:sz w:val="12"/>
                  <w:szCs w:val="12"/>
                </w:rPr>
                <w:t>SRR3018404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5162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FBC9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2F8A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AB639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4590849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DF84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9A74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374E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Il14H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8DCD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E22C3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1">
              <w:r w:rsidR="00762201">
                <w:rPr>
                  <w:sz w:val="12"/>
                  <w:szCs w:val="12"/>
                </w:rPr>
                <w:t>SRR3018410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8852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A16B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7597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0913D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316511B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A530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F9DF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BDA9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D556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23101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2">
              <w:r w:rsidR="00762201">
                <w:rPr>
                  <w:sz w:val="12"/>
                  <w:szCs w:val="12"/>
                </w:rPr>
                <w:t>SRR3018575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EAC0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9AED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5D12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513CA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62832527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4569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Ky21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ACDE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9D1B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Ky21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009B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09076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3">
              <w:r w:rsidR="00762201">
                <w:rPr>
                  <w:sz w:val="12"/>
                  <w:szCs w:val="12"/>
                </w:rPr>
                <w:t>SRR3018597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2CB7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3A05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A1D5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46B3F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0526B478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53E2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Tx303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D669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53FD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Tx303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FE40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C4869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4">
              <w:r w:rsidR="00762201">
                <w:rPr>
                  <w:sz w:val="12"/>
                  <w:szCs w:val="12"/>
                </w:rPr>
                <w:t>SRR3018625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2AE2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0B98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97C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8969C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22125BC0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6123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NC358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6CCA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5433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NC358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038E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29D13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5">
              <w:r w:rsidR="00762201">
                <w:rPr>
                  <w:sz w:val="12"/>
                  <w:szCs w:val="12"/>
                </w:rPr>
                <w:t>SRR3018741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0C87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7E3C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A6C5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B02AD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31CB40C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691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39AF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CCB1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76D7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F7F38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6">
              <w:r w:rsidR="00762201">
                <w:rPr>
                  <w:sz w:val="12"/>
                  <w:szCs w:val="12"/>
                </w:rPr>
                <w:t>SRR3018808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04D0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7DC8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4493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892FA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1F44B1DA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223A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Hp301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FCC4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CF2F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Hp301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113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0D4BD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7">
              <w:r w:rsidR="00762201">
                <w:rPr>
                  <w:sz w:val="12"/>
                  <w:szCs w:val="12"/>
                </w:rPr>
                <w:t>SRR3018811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E3D7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B9C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CB07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A6153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2F486F02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7C60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589A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DEC6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43D5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1CC02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8">
              <w:r w:rsidR="00762201">
                <w:rPr>
                  <w:sz w:val="12"/>
                  <w:szCs w:val="12"/>
                </w:rPr>
                <w:t>SRR3018813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C324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2C26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91B7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ED46E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6F59550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75AB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36A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FA1C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DCFE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D490C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29">
              <w:r w:rsidR="00762201">
                <w:rPr>
                  <w:sz w:val="12"/>
                  <w:szCs w:val="12"/>
                </w:rPr>
                <w:t>SRR3018814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84EC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377E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C58B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48FB1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57F5077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F3A8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TZI8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4BF7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B03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TZI8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01D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D3632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0">
              <w:r w:rsidR="00762201">
                <w:rPr>
                  <w:sz w:val="12"/>
                  <w:szCs w:val="12"/>
                </w:rPr>
                <w:t>SRR3018816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501F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A415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99F2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BF223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6E2AC068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D8AB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M162W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FB12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BE5D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M162W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CECD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7442F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1">
              <w:r w:rsidR="00762201">
                <w:rPr>
                  <w:sz w:val="12"/>
                  <w:szCs w:val="12"/>
                </w:rPr>
                <w:t>SRR3018819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F82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EA15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0B14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E5B8A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71146C24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4389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CA8F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BD68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243E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2B6D3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2">
              <w:r w:rsidR="00762201">
                <w:rPr>
                  <w:sz w:val="12"/>
                  <w:szCs w:val="12"/>
                </w:rPr>
                <w:t>SRR3018820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C9D4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BC5A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B5FD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91E83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4C120FD4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5984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OH7B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0286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B936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OH7B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2739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84E67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3">
              <w:r w:rsidR="00762201">
                <w:rPr>
                  <w:sz w:val="12"/>
                  <w:szCs w:val="12"/>
                </w:rPr>
                <w:t>SRR3018821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49F4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E8FA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9C9F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6E454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139EA041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6236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87D6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0D78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OH43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9257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F34BF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4">
              <w:r w:rsidR="00762201">
                <w:rPr>
                  <w:sz w:val="12"/>
                  <w:szCs w:val="12"/>
                </w:rPr>
                <w:t>SRR3018822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7808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A2EF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923A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9C105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52E4C468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6A35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6517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0604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CML322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97A8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E4982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5">
              <w:r w:rsidR="00762201">
                <w:rPr>
                  <w:sz w:val="12"/>
                  <w:szCs w:val="12"/>
                </w:rPr>
                <w:t>SRR3018825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6F07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4092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0FE8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1728F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25D944AE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FB3E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4A0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929F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CA1B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6B93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6">
              <w:r w:rsidR="00762201">
                <w:rPr>
                  <w:sz w:val="12"/>
                  <w:szCs w:val="12"/>
                </w:rPr>
                <w:t>SRR3018826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FE9E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D145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31EA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B0770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024A7943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C9DC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CC71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E65E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CML228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7BFF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B0114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7">
              <w:r w:rsidR="00762201">
                <w:rPr>
                  <w:sz w:val="12"/>
                  <w:szCs w:val="12"/>
                </w:rPr>
                <w:t>SRR3018827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51A2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94BB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AB95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5C2AF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6C4A6EF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AAFF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M37W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D928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A9F3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M37W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A722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PRJNA305893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9D0A1" w14:textId="77777777" w:rsidR="00762201" w:rsidRDefault="00E93D2F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hyperlink r:id="rId38">
              <w:r w:rsidR="00762201">
                <w:rPr>
                  <w:sz w:val="12"/>
                  <w:szCs w:val="12"/>
                </w:rPr>
                <w:t>SRR3018833</w:t>
              </w:r>
            </w:hyperlink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58C8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BE67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paired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2BA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leaves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BA51F" w14:textId="77777777" w:rsidR="00762201" w:rsidRDefault="00762201" w:rsidP="00CE10BD">
            <w:pPr>
              <w:widowControl w:val="0"/>
              <w:rPr>
                <w:sz w:val="12"/>
                <w:szCs w:val="12"/>
              </w:rPr>
            </w:pPr>
          </w:p>
        </w:tc>
      </w:tr>
      <w:tr w:rsidR="00762201" w14:paraId="20801EC7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0490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B73_1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F8F0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DE90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F52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SRP105290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9B1F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SRR5466739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C8B3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5FBB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7B9C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E2C8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 et al., 2017</w:t>
            </w:r>
          </w:p>
        </w:tc>
      </w:tr>
      <w:tr w:rsidR="00762201" w14:paraId="3D81C294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96DF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B73_2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B927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F9A7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5343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SRP105290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05D1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SRR5466555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14AE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23A5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4A93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D8B9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 et al., 2017</w:t>
            </w:r>
          </w:p>
        </w:tc>
      </w:tr>
      <w:tr w:rsidR="00762201" w14:paraId="3DBE396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2789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B73_3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9F87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F1BB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6435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SRP105290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366E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SRR5466556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FB27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F47F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7BCF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A5150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 et al., 2017</w:t>
            </w:r>
          </w:p>
        </w:tc>
      </w:tr>
      <w:tr w:rsidR="00762201" w14:paraId="4F810CED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D58B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B73_5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07F8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A2AB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5E7A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SRP105290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3DEF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SRR5466737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D442E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D7733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294E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3BC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 et al., 2017</w:t>
            </w:r>
          </w:p>
        </w:tc>
      </w:tr>
      <w:tr w:rsidR="00762201" w14:paraId="1683600F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9B7B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B73_6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C1B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D5198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FF73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SRP105290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B6E91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D8C77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2784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C83A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4357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 et al., 2017</w:t>
            </w:r>
          </w:p>
        </w:tc>
      </w:tr>
      <w:tr w:rsidR="00762201" w14:paraId="64F91AB9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8ECC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J178-3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0532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luxurians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D63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 422162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19856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SRP105290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DDB3B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SRR5466387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044E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SRR5466389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0C71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2570F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2998A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 et al., 2017</w:t>
            </w:r>
          </w:p>
        </w:tc>
      </w:tr>
      <w:tr w:rsidR="00762201" w14:paraId="34B0EDB7" w14:textId="77777777" w:rsidTr="00CE10BD">
        <w:trPr>
          <w:trHeight w:val="283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3120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Oax-2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6B8A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Zea</w:t>
            </w:r>
            <w:proofErr w:type="spellEnd"/>
            <w:r>
              <w:rPr>
                <w:sz w:val="12"/>
                <w:szCs w:val="12"/>
              </w:rPr>
              <w:t xml:space="preserve"> mays </w:t>
            </w:r>
            <w:proofErr w:type="spellStart"/>
            <w:r>
              <w:rPr>
                <w:sz w:val="12"/>
                <w:szCs w:val="12"/>
              </w:rPr>
              <w:t>mays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6EE62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 628470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3E7E9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SRP105290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4CC55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SRR5466588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FA7E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SRR5466710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A2124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single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6273C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seedling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1BBD" w14:textId="77777777" w:rsidR="00762201" w:rsidRDefault="00762201" w:rsidP="00CE1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 et al., 2017</w:t>
            </w:r>
          </w:p>
        </w:tc>
      </w:tr>
    </w:tbl>
    <w:p w14:paraId="029C46F9" w14:textId="77777777" w:rsidR="00762201" w:rsidRPr="009962C8" w:rsidRDefault="00762201" w:rsidP="00762201">
      <w:pPr>
        <w:widowControl w:val="0"/>
        <w:spacing w:line="480" w:lineRule="auto"/>
        <w:jc w:val="both"/>
        <w:rPr>
          <w:b/>
        </w:rPr>
      </w:pPr>
    </w:p>
    <w:p w14:paraId="405B687E" w14:textId="77777777" w:rsidR="00762201" w:rsidRPr="009962C8" w:rsidRDefault="00762201" w:rsidP="00762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</w:pPr>
    </w:p>
    <w:p w14:paraId="0DC47FCC" w14:textId="77777777" w:rsidR="00762201" w:rsidRDefault="00762201" w:rsidP="00762201"/>
    <w:p w14:paraId="6DCBCD55" w14:textId="77777777" w:rsidR="00762201" w:rsidRPr="009962C8" w:rsidRDefault="00762201" w:rsidP="009962C8">
      <w:pPr>
        <w:widowControl w:val="0"/>
        <w:spacing w:line="480" w:lineRule="auto"/>
      </w:pPr>
    </w:p>
    <w:p w14:paraId="6E386DF8" w14:textId="77777777" w:rsidR="00334A09" w:rsidRDefault="00334A09" w:rsidP="009962C8">
      <w:pPr>
        <w:widowControl w:val="0"/>
        <w:spacing w:line="480" w:lineRule="auto"/>
        <w:jc w:val="both"/>
        <w:rPr>
          <w:b/>
        </w:rPr>
      </w:pPr>
    </w:p>
    <w:sectPr w:rsidR="00334A09" w:rsidSect="00FD35BC">
      <w:footerReference w:type="default" r:id="rId3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B6BB" w14:textId="77777777" w:rsidR="00E93D2F" w:rsidRDefault="00E93D2F">
      <w:pPr>
        <w:spacing w:line="240" w:lineRule="auto"/>
      </w:pPr>
      <w:r>
        <w:separator/>
      </w:r>
    </w:p>
  </w:endnote>
  <w:endnote w:type="continuationSeparator" w:id="0">
    <w:p w14:paraId="5E202014" w14:textId="77777777" w:rsidR="00E93D2F" w:rsidRDefault="00E9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16B1" w14:textId="77777777" w:rsidR="00CE10BD" w:rsidRDefault="00CE10B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1BDB" w14:textId="77777777" w:rsidR="00E93D2F" w:rsidRDefault="00E93D2F">
      <w:pPr>
        <w:spacing w:line="240" w:lineRule="auto"/>
      </w:pPr>
      <w:r>
        <w:separator/>
      </w:r>
    </w:p>
  </w:footnote>
  <w:footnote w:type="continuationSeparator" w:id="0">
    <w:p w14:paraId="6B96953E" w14:textId="77777777" w:rsidR="00E93D2F" w:rsidRDefault="00E93D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F7"/>
    <w:rsid w:val="0000341C"/>
    <w:rsid w:val="0001712A"/>
    <w:rsid w:val="00017749"/>
    <w:rsid w:val="00026D9D"/>
    <w:rsid w:val="00037B5F"/>
    <w:rsid w:val="0008687C"/>
    <w:rsid w:val="000907D5"/>
    <w:rsid w:val="00092D31"/>
    <w:rsid w:val="000A520D"/>
    <w:rsid w:val="000A61B5"/>
    <w:rsid w:val="000B20C4"/>
    <w:rsid w:val="000D3EE5"/>
    <w:rsid w:val="000D558A"/>
    <w:rsid w:val="000D684A"/>
    <w:rsid w:val="000E3CC2"/>
    <w:rsid w:val="000E6A32"/>
    <w:rsid w:val="00123117"/>
    <w:rsid w:val="00124218"/>
    <w:rsid w:val="001506F6"/>
    <w:rsid w:val="001567B6"/>
    <w:rsid w:val="00180F2D"/>
    <w:rsid w:val="0019162A"/>
    <w:rsid w:val="001A5571"/>
    <w:rsid w:val="001C254A"/>
    <w:rsid w:val="001D015B"/>
    <w:rsid w:val="001D7F36"/>
    <w:rsid w:val="001E2939"/>
    <w:rsid w:val="00227A7E"/>
    <w:rsid w:val="00242D06"/>
    <w:rsid w:val="00273619"/>
    <w:rsid w:val="00277E6D"/>
    <w:rsid w:val="00283332"/>
    <w:rsid w:val="002A516E"/>
    <w:rsid w:val="002B73CA"/>
    <w:rsid w:val="002C4B5F"/>
    <w:rsid w:val="002E24B0"/>
    <w:rsid w:val="002E4DA4"/>
    <w:rsid w:val="002F649E"/>
    <w:rsid w:val="00327DF4"/>
    <w:rsid w:val="00334A09"/>
    <w:rsid w:val="003452BE"/>
    <w:rsid w:val="00362099"/>
    <w:rsid w:val="00370B21"/>
    <w:rsid w:val="003739BB"/>
    <w:rsid w:val="00382023"/>
    <w:rsid w:val="00387382"/>
    <w:rsid w:val="003A351A"/>
    <w:rsid w:val="003B3F3B"/>
    <w:rsid w:val="003D287F"/>
    <w:rsid w:val="003F3038"/>
    <w:rsid w:val="003F5A94"/>
    <w:rsid w:val="003F6912"/>
    <w:rsid w:val="00422635"/>
    <w:rsid w:val="00433D3D"/>
    <w:rsid w:val="004475E0"/>
    <w:rsid w:val="00454537"/>
    <w:rsid w:val="004903FC"/>
    <w:rsid w:val="00491A0E"/>
    <w:rsid w:val="00497BE7"/>
    <w:rsid w:val="004C76B1"/>
    <w:rsid w:val="004E4AE5"/>
    <w:rsid w:val="005015C5"/>
    <w:rsid w:val="005076BC"/>
    <w:rsid w:val="00533778"/>
    <w:rsid w:val="00550E59"/>
    <w:rsid w:val="0056448B"/>
    <w:rsid w:val="00582FB9"/>
    <w:rsid w:val="0058357D"/>
    <w:rsid w:val="00591D16"/>
    <w:rsid w:val="005C70D8"/>
    <w:rsid w:val="005D1288"/>
    <w:rsid w:val="005D19E5"/>
    <w:rsid w:val="005F4F5E"/>
    <w:rsid w:val="005F7AAC"/>
    <w:rsid w:val="006105F1"/>
    <w:rsid w:val="0063746D"/>
    <w:rsid w:val="006405B2"/>
    <w:rsid w:val="00654942"/>
    <w:rsid w:val="00672059"/>
    <w:rsid w:val="00696001"/>
    <w:rsid w:val="00696B9F"/>
    <w:rsid w:val="00705FE1"/>
    <w:rsid w:val="00756F9A"/>
    <w:rsid w:val="00761BF4"/>
    <w:rsid w:val="00762201"/>
    <w:rsid w:val="0076251A"/>
    <w:rsid w:val="007640D8"/>
    <w:rsid w:val="00776DE1"/>
    <w:rsid w:val="00794EC5"/>
    <w:rsid w:val="007A38FC"/>
    <w:rsid w:val="007A53CC"/>
    <w:rsid w:val="007B753C"/>
    <w:rsid w:val="007D6046"/>
    <w:rsid w:val="008030D6"/>
    <w:rsid w:val="00806D74"/>
    <w:rsid w:val="008202AA"/>
    <w:rsid w:val="00840D44"/>
    <w:rsid w:val="00860814"/>
    <w:rsid w:val="00884C12"/>
    <w:rsid w:val="008C1972"/>
    <w:rsid w:val="008C6516"/>
    <w:rsid w:val="00921D71"/>
    <w:rsid w:val="0092331D"/>
    <w:rsid w:val="00930E49"/>
    <w:rsid w:val="00955500"/>
    <w:rsid w:val="00957039"/>
    <w:rsid w:val="009613A1"/>
    <w:rsid w:val="009850FD"/>
    <w:rsid w:val="00987C4A"/>
    <w:rsid w:val="00993CCE"/>
    <w:rsid w:val="009952DD"/>
    <w:rsid w:val="009962C8"/>
    <w:rsid w:val="009B0F97"/>
    <w:rsid w:val="009D0BB5"/>
    <w:rsid w:val="009D22F7"/>
    <w:rsid w:val="009E01B9"/>
    <w:rsid w:val="009F1318"/>
    <w:rsid w:val="009F22EF"/>
    <w:rsid w:val="009F23C6"/>
    <w:rsid w:val="00A4400B"/>
    <w:rsid w:val="00A56B92"/>
    <w:rsid w:val="00A6287F"/>
    <w:rsid w:val="00A85BCB"/>
    <w:rsid w:val="00A924FF"/>
    <w:rsid w:val="00AA3909"/>
    <w:rsid w:val="00AC4C98"/>
    <w:rsid w:val="00AE5137"/>
    <w:rsid w:val="00AF0776"/>
    <w:rsid w:val="00B0177E"/>
    <w:rsid w:val="00B06E6B"/>
    <w:rsid w:val="00B34E65"/>
    <w:rsid w:val="00B90F10"/>
    <w:rsid w:val="00BA03D6"/>
    <w:rsid w:val="00BB3D28"/>
    <w:rsid w:val="00BB7FC3"/>
    <w:rsid w:val="00BD6C20"/>
    <w:rsid w:val="00BF39A0"/>
    <w:rsid w:val="00C115F8"/>
    <w:rsid w:val="00C36C92"/>
    <w:rsid w:val="00C41AAD"/>
    <w:rsid w:val="00C468B8"/>
    <w:rsid w:val="00C55DEC"/>
    <w:rsid w:val="00C60A34"/>
    <w:rsid w:val="00C67F97"/>
    <w:rsid w:val="00C8479D"/>
    <w:rsid w:val="00C848DB"/>
    <w:rsid w:val="00CB1749"/>
    <w:rsid w:val="00CB6B82"/>
    <w:rsid w:val="00CC09A9"/>
    <w:rsid w:val="00CE10BD"/>
    <w:rsid w:val="00CE772B"/>
    <w:rsid w:val="00CF5213"/>
    <w:rsid w:val="00D04DF0"/>
    <w:rsid w:val="00D22071"/>
    <w:rsid w:val="00D24A40"/>
    <w:rsid w:val="00D24F41"/>
    <w:rsid w:val="00D335B4"/>
    <w:rsid w:val="00D82434"/>
    <w:rsid w:val="00DA2C4A"/>
    <w:rsid w:val="00DC618E"/>
    <w:rsid w:val="00DE2A52"/>
    <w:rsid w:val="00E00093"/>
    <w:rsid w:val="00E148E1"/>
    <w:rsid w:val="00E527E0"/>
    <w:rsid w:val="00E55EDB"/>
    <w:rsid w:val="00E75485"/>
    <w:rsid w:val="00E866CA"/>
    <w:rsid w:val="00E9134C"/>
    <w:rsid w:val="00E93D2F"/>
    <w:rsid w:val="00E966AB"/>
    <w:rsid w:val="00EA2595"/>
    <w:rsid w:val="00EB4C7F"/>
    <w:rsid w:val="00ED2A07"/>
    <w:rsid w:val="00ED7411"/>
    <w:rsid w:val="00EE2015"/>
    <w:rsid w:val="00EE51C9"/>
    <w:rsid w:val="00F2405D"/>
    <w:rsid w:val="00F5625B"/>
    <w:rsid w:val="00F608C3"/>
    <w:rsid w:val="00F8286D"/>
    <w:rsid w:val="00F93250"/>
    <w:rsid w:val="00F961C0"/>
    <w:rsid w:val="00FD35BC"/>
    <w:rsid w:val="00FD5396"/>
    <w:rsid w:val="00FD6445"/>
    <w:rsid w:val="00FD6D4F"/>
    <w:rsid w:val="00FE02B1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8FA8"/>
  <w15:docId w15:val="{6AE9CCA4-D301-B147-919D-F4C8B5FD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9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9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F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099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1749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749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749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749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749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749"/>
    <w:rPr>
      <w:i/>
      <w:color w:val="666666"/>
    </w:rPr>
  </w:style>
  <w:style w:type="character" w:customStyle="1" w:styleId="TitleChar">
    <w:name w:val="Title Char"/>
    <w:basedOn w:val="DefaultParagraphFont"/>
    <w:link w:val="Title"/>
    <w:uiPriority w:val="10"/>
    <w:rsid w:val="00CB1749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B1749"/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806D74"/>
  </w:style>
  <w:style w:type="character" w:styleId="Hyperlink">
    <w:name w:val="Hyperlink"/>
    <w:basedOn w:val="DefaultParagraphFont"/>
    <w:uiPriority w:val="99"/>
    <w:unhideWhenUsed/>
    <w:rsid w:val="006960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960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yperlink" Target="https://trace.ncbi.nlm.nih.gov/Traces/sra?run=SRR3018373" TargetMode="External"/><Relationship Id="rId26" Type="http://schemas.openxmlformats.org/officeDocument/2006/relationships/hyperlink" Target="https://trace.ncbi.nlm.nih.gov/Traces/sra?run=SRR3018808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trace.ncbi.nlm.nih.gov/Traces/sra?run=SRR3018410" TargetMode="External"/><Relationship Id="rId34" Type="http://schemas.openxmlformats.org/officeDocument/2006/relationships/hyperlink" Target="https://trace.ncbi.nlm.nih.gov/Traces/sra?run=SRR3018822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trace.ncbi.nlm.nih.gov/Traces/sra?run=SRR2994641" TargetMode="External"/><Relationship Id="rId20" Type="http://schemas.openxmlformats.org/officeDocument/2006/relationships/hyperlink" Target="https://trace.ncbi.nlm.nih.gov/Traces/sra?run=SRR3018404" TargetMode="External"/><Relationship Id="rId29" Type="http://schemas.openxmlformats.org/officeDocument/2006/relationships/hyperlink" Target="https://trace.ncbi.nlm.nih.gov/Traces/sra?run=SRR301881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aperpile.com/c/78bVPo/alpx" TargetMode="External"/><Relationship Id="rId24" Type="http://schemas.openxmlformats.org/officeDocument/2006/relationships/hyperlink" Target="https://trace.ncbi.nlm.nih.gov/Traces/sra?run=SRR3018625" TargetMode="External"/><Relationship Id="rId32" Type="http://schemas.openxmlformats.org/officeDocument/2006/relationships/hyperlink" Target="https://trace.ncbi.nlm.nih.gov/Traces/sra?run=SRR3018820" TargetMode="External"/><Relationship Id="rId37" Type="http://schemas.openxmlformats.org/officeDocument/2006/relationships/hyperlink" Target="https://trace.ncbi.nlm.nih.gov/Traces/sra?run=SRR3018827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hyperlink" Target="https://trace.ncbi.nlm.nih.gov/Traces/sra?run=SRR3018597" TargetMode="External"/><Relationship Id="rId28" Type="http://schemas.openxmlformats.org/officeDocument/2006/relationships/hyperlink" Target="https://trace.ncbi.nlm.nih.gov/Traces/sra?run=SRR3018813" TargetMode="External"/><Relationship Id="rId36" Type="http://schemas.openxmlformats.org/officeDocument/2006/relationships/hyperlink" Target="https://trace.ncbi.nlm.nih.gov/Traces/sra?run=SRR3018826" TargetMode="External"/><Relationship Id="rId10" Type="http://schemas.openxmlformats.org/officeDocument/2006/relationships/hyperlink" Target="https://paperpile.com/c/78bVPo/alpx" TargetMode="External"/><Relationship Id="rId19" Type="http://schemas.openxmlformats.org/officeDocument/2006/relationships/hyperlink" Target="https://trace.ncbi.nlm.nih.gov/Traces/sra?run=SRR3018392" TargetMode="External"/><Relationship Id="rId31" Type="http://schemas.openxmlformats.org/officeDocument/2006/relationships/hyperlink" Target="https://trace.ncbi.nlm.nih.gov/Traces/sra?run=SRR30188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perpile.com/c/78bVPo/alpx" TargetMode="External"/><Relationship Id="rId14" Type="http://schemas.openxmlformats.org/officeDocument/2006/relationships/image" Target="media/image6.emf"/><Relationship Id="rId22" Type="http://schemas.openxmlformats.org/officeDocument/2006/relationships/hyperlink" Target="https://trace.ncbi.nlm.nih.gov/Traces/sra?run=SRR3018575" TargetMode="External"/><Relationship Id="rId27" Type="http://schemas.openxmlformats.org/officeDocument/2006/relationships/hyperlink" Target="https://trace.ncbi.nlm.nih.gov/Traces/sra?run=SRR3018811" TargetMode="External"/><Relationship Id="rId30" Type="http://schemas.openxmlformats.org/officeDocument/2006/relationships/hyperlink" Target="https://trace.ncbi.nlm.nih.gov/Traces/sra?run=SRR3018816" TargetMode="External"/><Relationship Id="rId35" Type="http://schemas.openxmlformats.org/officeDocument/2006/relationships/hyperlink" Target="https://trace.ncbi.nlm.nih.gov/Traces/sra?run=SRR3018825" TargetMode="External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hyperlink" Target="https://trace.ncbi.nlm.nih.gov/Traces/sra?run=SRR3018349" TargetMode="External"/><Relationship Id="rId25" Type="http://schemas.openxmlformats.org/officeDocument/2006/relationships/hyperlink" Target="https://trace.ncbi.nlm.nih.gov/Traces/sra?run=SRR3018741" TargetMode="External"/><Relationship Id="rId33" Type="http://schemas.openxmlformats.org/officeDocument/2006/relationships/hyperlink" Target="https://trace.ncbi.nlm.nih.gov/Traces/sra?run=SRR3018821" TargetMode="External"/><Relationship Id="rId38" Type="http://schemas.openxmlformats.org/officeDocument/2006/relationships/hyperlink" Target="https://trace.ncbi.nlm.nih.gov/Traces/sra?run=SRR301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2020-10-27T19:00:00Z</cp:lastPrinted>
  <dcterms:created xsi:type="dcterms:W3CDTF">2021-02-01T22:33:00Z</dcterms:created>
  <dcterms:modified xsi:type="dcterms:W3CDTF">2021-02-01T22:33:00Z</dcterms:modified>
</cp:coreProperties>
</file>