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D8F6" w14:textId="77777777" w:rsidR="00A42F95" w:rsidRPr="00603BB4" w:rsidRDefault="00A42F95" w:rsidP="00A42F95">
      <w:pPr>
        <w:spacing w:line="324" w:lineRule="auto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  <w:lang w:val="en-US"/>
        </w:rPr>
      </w:pPr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u w:val="single"/>
          <w:lang w:val="en-US"/>
        </w:rPr>
        <w:t>Supplementary Tables Legends</w:t>
      </w:r>
    </w:p>
    <w:p w14:paraId="173D1CA0" w14:textId="77777777" w:rsidR="00A42F95" w:rsidRPr="00603BB4" w:rsidRDefault="00A42F95" w:rsidP="00A42F95">
      <w:pPr>
        <w:spacing w:line="324" w:lineRule="auto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</w:pPr>
    </w:p>
    <w:p w14:paraId="1E7FF600" w14:textId="77777777" w:rsidR="00A42F95" w:rsidRPr="00603BB4" w:rsidRDefault="00A42F95" w:rsidP="00A42F95">
      <w:pPr>
        <w:spacing w:line="324" w:lineRule="auto"/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</w:pPr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 xml:space="preserve">Table </w:t>
      </w: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>S</w:t>
      </w:r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 xml:space="preserve">1. </w:t>
      </w:r>
      <w:proofErr w:type="spellStart"/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>CeL</w:t>
      </w:r>
      <w:proofErr w:type="spellEnd"/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 xml:space="preserve">-Gen’s inferred cell-type-specificity of eQTLs in influenza-infected mice. </w:t>
      </w:r>
      <w:r w:rsidRPr="00603BB4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 xml:space="preserve">The table reports genes with cell-type specificity </w:t>
      </w:r>
      <w:r w:rsidRPr="00603BB4"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en-US"/>
        </w:rPr>
        <w:t xml:space="preserve">cis </w:t>
      </w:r>
      <w:r w:rsidRPr="00603BB4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 xml:space="preserve">eQTLs that were identified by </w:t>
      </w:r>
      <w:proofErr w:type="spellStart"/>
      <w:r w:rsidRPr="00603BB4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>CeL</w:t>
      </w:r>
      <w:proofErr w:type="spellEnd"/>
      <w:r w:rsidRPr="00603BB4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 xml:space="preserve">-Gen with FDR &lt; 0.05. For each gene (column 1), reported are its associated SNP (SNP identifier and its genomic position in columns 2,3, respectively), the inferred branch of </w:t>
      </w:r>
      <w:r w:rsidRPr="00603BB4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alteration (column </w:t>
      </w:r>
      <w:r w:rsidRPr="00603BB4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>4), known immune and non-immune associated disease based on GWAS studies (column 5) and based on the annotation in the Ingenuity knowledge base (columns 6).</w:t>
      </w:r>
    </w:p>
    <w:p w14:paraId="2E0D299B" w14:textId="77777777" w:rsidR="00A42F95" w:rsidRPr="00603BB4" w:rsidRDefault="00A42F95" w:rsidP="00A42F95">
      <w:pPr>
        <w:spacing w:line="324" w:lineRule="auto"/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</w:pPr>
    </w:p>
    <w:p w14:paraId="4A01DD59" w14:textId="77777777" w:rsidR="00A42F95" w:rsidRPr="00603BB4" w:rsidRDefault="00A42F95" w:rsidP="00A42F95">
      <w:pPr>
        <w:spacing w:line="324" w:lineRule="auto"/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</w:pPr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 xml:space="preserve">Table </w:t>
      </w: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>S</w:t>
      </w:r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 xml:space="preserve">2. </w:t>
      </w:r>
      <w:proofErr w:type="spellStart"/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>Westra’s</w:t>
      </w:r>
      <w:proofErr w:type="spellEnd"/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 xml:space="preserve"> inferred cell-type-specificity of eQTLs in influenza-infected mice. </w:t>
      </w:r>
      <w:r w:rsidRPr="00603BB4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 xml:space="preserve">The table reports genes with cell-type specificity </w:t>
      </w:r>
      <w:r w:rsidRPr="00603BB4"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en-US"/>
        </w:rPr>
        <w:t xml:space="preserve">cis </w:t>
      </w:r>
      <w:r w:rsidRPr="00603BB4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 xml:space="preserve">eQTLs that were identified by Westra with FDR &lt; 0.05, for which the inferred set of cell types could be categorized as immune/non-immune types. For each gene (column 1), reported are its associated SNP (column 2), the inferred cell types </w:t>
      </w:r>
      <w:r w:rsidRPr="00603BB4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(column </w:t>
      </w:r>
      <w:r w:rsidRPr="00603BB4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>3) and their respective immune/non-immune categorization (column 4). Reported are known immune and non-immune diseases associated with the gene based on GWAS (column 5) and based on the annotation in the Ingenuity knowledge base (column 6).</w:t>
      </w:r>
    </w:p>
    <w:p w14:paraId="44958875" w14:textId="77777777" w:rsidR="00A42F95" w:rsidRPr="00603BB4" w:rsidRDefault="00A42F95" w:rsidP="00A42F95">
      <w:pPr>
        <w:spacing w:line="324" w:lineRule="auto"/>
        <w:rPr>
          <w:color w:val="000000" w:themeColor="text1"/>
          <w:lang w:val="en-US"/>
        </w:rPr>
      </w:pPr>
    </w:p>
    <w:p w14:paraId="37A0C446" w14:textId="77777777" w:rsidR="00A42F95" w:rsidRPr="00603BB4" w:rsidRDefault="00A42F95" w:rsidP="00A42F95">
      <w:pPr>
        <w:spacing w:line="324" w:lineRule="auto"/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</w:pPr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 xml:space="preserve">Table </w:t>
      </w: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>S</w:t>
      </w:r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 xml:space="preserve">3. Running time. </w:t>
      </w:r>
      <w:r w:rsidRPr="00603BB4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>Running time was measured on a MacBook Pro (16-inch, 2019), 2.3 GHz 8-Core Intel Core i9, 32 GB 2667 MHz DDR4. Simulations were tested with a single SNP for each gene, using 50, 200, and 1000 genes. Reported are mean running time per gene (left) and the standard deviation among repeats (right).</w:t>
      </w:r>
    </w:p>
    <w:p w14:paraId="2D968E1E" w14:textId="77777777" w:rsidR="00A42F95" w:rsidRPr="00603BB4" w:rsidRDefault="00A42F95" w:rsidP="00A42F95">
      <w:pPr>
        <w:spacing w:line="324" w:lineRule="auto"/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</w:pPr>
    </w:p>
    <w:p w14:paraId="03D6E2D4" w14:textId="77777777" w:rsidR="00A42F95" w:rsidRPr="00603BB4" w:rsidRDefault="00A42F95" w:rsidP="00A42F95">
      <w:pPr>
        <w:spacing w:line="324" w:lineRule="auto"/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</w:pPr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 xml:space="preserve">Table </w:t>
      </w: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>S</w:t>
      </w:r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 xml:space="preserve">4. </w:t>
      </w:r>
      <w:proofErr w:type="spellStart"/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>Westra’s</w:t>
      </w:r>
      <w:proofErr w:type="spellEnd"/>
      <w:r w:rsidRPr="00603BB4">
        <w:rPr>
          <w:rFonts w:asciiTheme="minorBidi" w:hAnsiTheme="minorBidi" w:cstheme="minorBidi"/>
          <w:b/>
          <w:bCs/>
          <w:color w:val="000000" w:themeColor="text1"/>
          <w:sz w:val="22"/>
          <w:szCs w:val="22"/>
          <w:lang w:val="en-US"/>
        </w:rPr>
        <w:t xml:space="preserve"> inferred cell-type-specificity of eQTLs in influenza-infected mice. </w:t>
      </w:r>
      <w:r w:rsidRPr="00603BB4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 xml:space="preserve">The table reports all genes with </w:t>
      </w:r>
      <w:r w:rsidRPr="00603BB4">
        <w:rPr>
          <w:rFonts w:asciiTheme="minorBidi" w:hAnsiTheme="minorBidi" w:cstheme="minorBidi"/>
          <w:i/>
          <w:iCs/>
          <w:color w:val="000000" w:themeColor="text1"/>
          <w:sz w:val="22"/>
          <w:szCs w:val="22"/>
          <w:lang w:val="en-US"/>
        </w:rPr>
        <w:t xml:space="preserve">cis </w:t>
      </w:r>
      <w:r w:rsidRPr="00603BB4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 xml:space="preserve">eQTLs that were identified by Westra with FDR &lt; 0.05. For each gene (column 1), reported are its associated SNP (column 2), the inferred cell types </w:t>
      </w:r>
      <w:r w:rsidRPr="00603BB4">
        <w:rPr>
          <w:rFonts w:asciiTheme="minorBidi" w:hAnsiTheme="minorBidi" w:cstheme="minorBidi"/>
          <w:color w:val="000000" w:themeColor="text1"/>
          <w:sz w:val="22"/>
          <w:szCs w:val="22"/>
        </w:rPr>
        <w:t xml:space="preserve">(column </w:t>
      </w:r>
      <w:r w:rsidRPr="00603BB4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>3) and the minimal number of switch-on/switch-off events that are consistent with the inferred cell types (column 4).</w:t>
      </w:r>
    </w:p>
    <w:p w14:paraId="22E4CD8F" w14:textId="77777777" w:rsidR="00A42F95" w:rsidRPr="00A42F95" w:rsidRDefault="00A42F95">
      <w:pPr>
        <w:rPr>
          <w:lang w:val="en-US"/>
        </w:rPr>
      </w:pPr>
    </w:p>
    <w:sectPr w:rsidR="00A42F95" w:rsidRPr="00A42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95"/>
    <w:rsid w:val="00A4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C7BD7"/>
  <w15:chartTrackingRefBased/>
  <w15:docId w15:val="{0B8643F9-F248-9B4E-AB93-395E6380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F95"/>
    <w:rPr>
      <w:rFonts w:ascii="Times New Roman" w:eastAsia="Times New Roman" w:hAnsi="Times New Roman" w:cs="Times New Roman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Yankovitz</dc:creator>
  <cp:keywords/>
  <dc:description/>
  <cp:lastModifiedBy>Gal Yankovitz</cp:lastModifiedBy>
  <cp:revision>1</cp:revision>
  <dcterms:created xsi:type="dcterms:W3CDTF">2021-01-22T10:24:00Z</dcterms:created>
  <dcterms:modified xsi:type="dcterms:W3CDTF">2021-01-22T10:24:00Z</dcterms:modified>
</cp:coreProperties>
</file>