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9DD50" w14:textId="3D62EB4A" w:rsidR="00B83954" w:rsidRPr="007A7B81" w:rsidRDefault="005A2F4A" w:rsidP="00EF29AE">
      <w:pPr>
        <w:pStyle w:val="Heading1"/>
      </w:pPr>
      <w:r w:rsidRPr="007A7B81">
        <w:t>Supplementary Methods</w:t>
      </w:r>
    </w:p>
    <w:p w14:paraId="16E93E7E" w14:textId="22AD938A" w:rsidR="00864671" w:rsidRPr="007A7B81" w:rsidRDefault="00864671" w:rsidP="001B0741">
      <w:pPr>
        <w:spacing w:line="360" w:lineRule="auto"/>
        <w:rPr>
          <w:rFonts w:cstheme="minorHAnsi"/>
          <w:b/>
          <w:bCs/>
          <w:sz w:val="24"/>
          <w:szCs w:val="24"/>
        </w:rPr>
      </w:pPr>
      <w:r w:rsidRPr="007A7B81">
        <w:rPr>
          <w:rFonts w:cstheme="minorHAnsi"/>
          <w:b/>
          <w:bCs/>
          <w:sz w:val="24"/>
          <w:szCs w:val="24"/>
        </w:rPr>
        <w:t>Strains</w:t>
      </w:r>
    </w:p>
    <w:p w14:paraId="0EDFCA4D" w14:textId="2ABEE9E9" w:rsidR="005A2F4A" w:rsidRPr="007A7B81" w:rsidRDefault="005A2F4A" w:rsidP="003211CF">
      <w:pPr>
        <w:spacing w:line="360" w:lineRule="auto"/>
        <w:jc w:val="both"/>
        <w:rPr>
          <w:rFonts w:cstheme="minorHAnsi"/>
          <w:color w:val="000000"/>
          <w:sz w:val="24"/>
          <w:szCs w:val="24"/>
          <w:shd w:val="clear" w:color="auto" w:fill="FFFFFF"/>
        </w:rPr>
      </w:pPr>
      <w:bookmarkStart w:id="0" w:name="_Hlk36626661"/>
      <w:r w:rsidRPr="007A7B81">
        <w:rPr>
          <w:rFonts w:cstheme="minorHAnsi"/>
          <w:sz w:val="24"/>
          <w:szCs w:val="24"/>
        </w:rPr>
        <w:t>Cln3 mutation was done by CRISPR as described in main materials and methods section</w:t>
      </w:r>
      <w:r w:rsidRPr="007A7B81">
        <w:rPr>
          <w:rFonts w:cstheme="minorHAnsi"/>
          <w:color w:val="222222"/>
          <w:sz w:val="24"/>
          <w:szCs w:val="24"/>
          <w:shd w:val="clear" w:color="auto" w:fill="FFFFFF"/>
        </w:rPr>
        <w:t xml:space="preserve">. </w:t>
      </w:r>
      <w:bookmarkEnd w:id="0"/>
      <w:r w:rsidRPr="007A7B81">
        <w:rPr>
          <w:rFonts w:cstheme="minorHAnsi"/>
          <w:sz w:val="24"/>
          <w:szCs w:val="24"/>
          <w:shd w:val="clear" w:color="auto" w:fill="FFFFFF"/>
        </w:rPr>
        <w:t>a synthetic double stranded repair product was co-transformed with Cas9 harbouring the mutation. GCT</w:t>
      </w:r>
      <w:r w:rsidRPr="007A7B81">
        <w:rPr>
          <w:rFonts w:cstheme="minorHAnsi"/>
          <w:b/>
          <w:bCs/>
          <w:sz w:val="24"/>
          <w:szCs w:val="24"/>
          <w:shd w:val="clear" w:color="auto" w:fill="FFFFFF"/>
        </w:rPr>
        <w:t>G</w:t>
      </w:r>
      <w:r w:rsidRPr="007A7B81">
        <w:rPr>
          <w:rFonts w:cstheme="minorHAnsi"/>
          <w:sz w:val="24"/>
          <w:szCs w:val="24"/>
          <w:shd w:val="clear" w:color="auto" w:fill="FFFFFF"/>
        </w:rPr>
        <w:t>G ( -1016bp upstream) was replaced by GCT</w:t>
      </w:r>
      <w:r w:rsidRPr="007A7B81">
        <w:rPr>
          <w:rFonts w:cstheme="minorHAnsi"/>
          <w:b/>
          <w:bCs/>
          <w:sz w:val="24"/>
          <w:szCs w:val="24"/>
          <w:shd w:val="clear" w:color="auto" w:fill="FFFFFF"/>
        </w:rPr>
        <w:t>C</w:t>
      </w:r>
      <w:r w:rsidRPr="007A7B81">
        <w:rPr>
          <w:rFonts w:cstheme="minorHAnsi"/>
          <w:sz w:val="24"/>
          <w:szCs w:val="24"/>
          <w:shd w:val="clear" w:color="auto" w:fill="FFFFFF"/>
        </w:rPr>
        <w:t xml:space="preserve">G, </w:t>
      </w:r>
      <w:r w:rsidR="00657063" w:rsidRPr="007A7B81">
        <w:rPr>
          <w:rFonts w:cstheme="minorHAnsi"/>
          <w:sz w:val="24"/>
          <w:szCs w:val="24"/>
          <w:shd w:val="clear" w:color="auto" w:fill="FFFFFF"/>
        </w:rPr>
        <w:t>to match the</w:t>
      </w:r>
      <w:r w:rsidRPr="007A7B81">
        <w:rPr>
          <w:rFonts w:cstheme="minorHAnsi"/>
          <w:sz w:val="24"/>
          <w:szCs w:val="24"/>
          <w:shd w:val="clear" w:color="auto" w:fill="FFFFFF"/>
        </w:rPr>
        <w:t xml:space="preserve"> </w:t>
      </w:r>
      <w:r w:rsidRPr="007A7B81">
        <w:rPr>
          <w:rFonts w:cstheme="minorHAnsi"/>
          <w:i/>
          <w:iCs/>
          <w:sz w:val="24"/>
          <w:szCs w:val="24"/>
          <w:shd w:val="clear" w:color="auto" w:fill="FFFFFF"/>
        </w:rPr>
        <w:t>S. paradoxus</w:t>
      </w:r>
      <w:r w:rsidR="00657063" w:rsidRPr="007A7B81">
        <w:rPr>
          <w:rFonts w:cstheme="minorHAnsi"/>
          <w:i/>
          <w:iCs/>
          <w:sz w:val="24"/>
          <w:szCs w:val="24"/>
          <w:shd w:val="clear" w:color="auto" w:fill="FFFFFF"/>
        </w:rPr>
        <w:t xml:space="preserve"> </w:t>
      </w:r>
      <w:r w:rsidR="00657063" w:rsidRPr="007A7B81">
        <w:rPr>
          <w:rFonts w:cstheme="minorHAnsi"/>
          <w:sz w:val="24"/>
          <w:szCs w:val="24"/>
          <w:shd w:val="clear" w:color="auto" w:fill="FFFFFF"/>
        </w:rPr>
        <w:t>allele</w:t>
      </w:r>
      <w:r w:rsidRPr="007A7B81">
        <w:rPr>
          <w:rFonts w:cstheme="minorHAnsi"/>
          <w:sz w:val="24"/>
          <w:szCs w:val="24"/>
          <w:shd w:val="clear" w:color="auto" w:fill="FFFFFF"/>
        </w:rPr>
        <w:t xml:space="preserve">. Introducing the Cln3 mutation was done on BY4741 expressing </w:t>
      </w:r>
      <w:r w:rsidR="003211CF" w:rsidRPr="007A7B81">
        <w:rPr>
          <w:rFonts w:cstheme="minorHAnsi"/>
          <w:sz w:val="24"/>
          <w:szCs w:val="24"/>
          <w:shd w:val="clear" w:color="auto" w:fill="FFFFFF"/>
        </w:rPr>
        <w:t xml:space="preserve">the </w:t>
      </w:r>
      <w:r w:rsidRPr="007A7B81">
        <w:rPr>
          <w:rFonts w:cstheme="minorHAnsi"/>
          <w:sz w:val="24"/>
          <w:szCs w:val="24"/>
          <w:shd w:val="clear" w:color="auto" w:fill="FFFFFF"/>
        </w:rPr>
        <w:t>cell cycle marker</w:t>
      </w:r>
      <w:r w:rsidR="003211CF" w:rsidRPr="007A7B81">
        <w:rPr>
          <w:rFonts w:cstheme="minorHAnsi"/>
          <w:sz w:val="24"/>
          <w:szCs w:val="24"/>
          <w:shd w:val="clear" w:color="auto" w:fill="FFFFFF"/>
        </w:rPr>
        <w:t xml:space="preserve">s </w:t>
      </w:r>
      <w:r w:rsidRPr="007A7B81">
        <w:rPr>
          <w:rFonts w:cstheme="minorHAnsi"/>
          <w:color w:val="000000"/>
          <w:sz w:val="24"/>
          <w:szCs w:val="24"/>
          <w:shd w:val="clear" w:color="auto" w:fill="FFFFFF"/>
        </w:rPr>
        <w:t>CDC10</w:t>
      </w:r>
      <w:r w:rsidR="003211CF" w:rsidRPr="007A7B81">
        <w:rPr>
          <w:rFonts w:cstheme="minorHAnsi"/>
          <w:color w:val="000000"/>
          <w:sz w:val="24"/>
          <w:szCs w:val="24"/>
          <w:shd w:val="clear" w:color="auto" w:fill="FFFFFF"/>
        </w:rPr>
        <w:t>-YFP and ACS2-CFP</w:t>
      </w:r>
      <w:r w:rsidR="003211CF" w:rsidRPr="007A7B81">
        <w:rPr>
          <w:rFonts w:cstheme="minorHAnsi"/>
          <w:color w:val="000000"/>
          <w:sz w:val="24"/>
          <w:szCs w:val="24"/>
          <w:shd w:val="clear" w:color="auto" w:fill="FFFFFF"/>
        </w:rPr>
        <w:fldChar w:fldCharType="begin" w:fldLock="1"/>
      </w:r>
      <w:r w:rsidR="007A7B81">
        <w:rPr>
          <w:rFonts w:cstheme="minorHAnsi"/>
          <w:color w:val="000000"/>
          <w:sz w:val="24"/>
          <w:szCs w:val="24"/>
          <w:shd w:val="clear" w:color="auto" w:fill="FFFFFF"/>
        </w:rPr>
        <w:instrText>ADDIN CSL_CITATION {"citationItems":[{"id":"ITEM-1","itemData":{"ISSN":"22111247","abstract":"Jonas et al. develop a visual framework to understand the emergence of cell size from the cooperation of multiple size control mechanisms during the cell cycle. With this framework they analyze the size changes after environmental and genetic perturbations and probe the interaction between size control at different cell cycle phases.","author":[{"dropping-particle":"","family":"Jonas","given":"Felix","non-dropping-particle":"","parse-names":false,"suffix":""},{"dropping-particle":"","family":"Soifer","given":"Ilya","non-dropping-particle":"","parse-names":false,"suffix":""},{"dropping-particle":"","family":"Barkai","given":"Naama","non-dropping-particle":"","parse-names":false,"suffix":""}],"container-title":"Cell Reports","id":"ITEM-1","issue":"12","issued":{"date-parts":[["2018","12","18"]]},"page":"3519-3529.e2","publisher":"Elsevier B.V.","title":"A Visual Framework for Classifying Determinants of Cell Size","type":"article-journal","volume":"25"},"uris":["http://www.mendeley.com/documents/?uuid=124cae33-1013-3826-9fb0-d1d01d99c2e7"]}],"mendeley":{"formattedCitation":"(Jonas et al. 2018)","plainTextFormattedCitation":"(Jonas et al. 2018)","previouslyFormattedCitation":"(Jonas et al. 2018)"},"properties":{"noteIndex":0},"schema":"https://github.com/citation-style-language/schema/raw/master/csl-citation.json"}</w:instrText>
      </w:r>
      <w:r w:rsidR="003211CF" w:rsidRPr="007A7B81">
        <w:rPr>
          <w:rFonts w:cstheme="minorHAnsi"/>
          <w:color w:val="000000"/>
          <w:sz w:val="24"/>
          <w:szCs w:val="24"/>
          <w:shd w:val="clear" w:color="auto" w:fill="FFFFFF"/>
        </w:rPr>
        <w:fldChar w:fldCharType="separate"/>
      </w:r>
      <w:r w:rsidR="007A7B81" w:rsidRPr="007A7B81">
        <w:rPr>
          <w:rFonts w:cstheme="minorHAnsi"/>
          <w:noProof/>
          <w:color w:val="000000"/>
          <w:sz w:val="24"/>
          <w:szCs w:val="24"/>
          <w:shd w:val="clear" w:color="auto" w:fill="FFFFFF"/>
        </w:rPr>
        <w:t>(Jonas et al. 2018)</w:t>
      </w:r>
      <w:r w:rsidR="003211CF" w:rsidRPr="007A7B81">
        <w:rPr>
          <w:rFonts w:cstheme="minorHAnsi"/>
          <w:color w:val="000000"/>
          <w:sz w:val="24"/>
          <w:szCs w:val="24"/>
          <w:shd w:val="clear" w:color="auto" w:fill="FFFFFF"/>
        </w:rPr>
        <w:fldChar w:fldCharType="end"/>
      </w:r>
      <w:r w:rsidR="003211CF" w:rsidRPr="007A7B81">
        <w:rPr>
          <w:rFonts w:cstheme="minorHAnsi"/>
          <w:color w:val="000000"/>
          <w:sz w:val="24"/>
          <w:szCs w:val="24"/>
          <w:shd w:val="clear" w:color="auto" w:fill="FFFFFF"/>
        </w:rPr>
        <w:t>.</w:t>
      </w:r>
    </w:p>
    <w:p w14:paraId="7AFE9A09" w14:textId="00860EF7" w:rsidR="005A2F4A" w:rsidRPr="007A7B81" w:rsidRDefault="005A2F4A" w:rsidP="003211CF">
      <w:pPr>
        <w:spacing w:line="360" w:lineRule="auto"/>
        <w:jc w:val="both"/>
        <w:rPr>
          <w:rFonts w:cstheme="minorHAnsi"/>
          <w:color w:val="000000"/>
          <w:sz w:val="24"/>
          <w:szCs w:val="24"/>
          <w:shd w:val="clear" w:color="auto" w:fill="FFFFFF"/>
        </w:rPr>
      </w:pPr>
      <w:r w:rsidRPr="007A7B81">
        <w:rPr>
          <w:rFonts w:cstheme="minorHAnsi"/>
          <w:color w:val="000000"/>
          <w:sz w:val="24"/>
          <w:szCs w:val="24"/>
          <w:shd w:val="clear" w:color="auto" w:fill="FFFFFF"/>
        </w:rPr>
        <w:t>High-copy expression of Clb2 wa</w:t>
      </w:r>
      <w:r w:rsidR="003211CF" w:rsidRPr="007A7B81">
        <w:rPr>
          <w:rFonts w:cstheme="minorHAnsi"/>
          <w:color w:val="000000"/>
          <w:sz w:val="24"/>
          <w:szCs w:val="24"/>
          <w:shd w:val="clear" w:color="auto" w:fill="FFFFFF"/>
        </w:rPr>
        <w:t>s done as previously described</w:t>
      </w:r>
      <w:r w:rsidR="003211CF" w:rsidRPr="007A7B81">
        <w:rPr>
          <w:rFonts w:cstheme="minorHAnsi"/>
          <w:color w:val="000000"/>
          <w:sz w:val="24"/>
          <w:szCs w:val="24"/>
          <w:shd w:val="clear" w:color="auto" w:fill="FFFFFF"/>
        </w:rPr>
        <w:fldChar w:fldCharType="begin" w:fldLock="1"/>
      </w:r>
      <w:r w:rsidR="007A7B81">
        <w:rPr>
          <w:rFonts w:cstheme="minorHAnsi"/>
          <w:color w:val="000000"/>
          <w:sz w:val="24"/>
          <w:szCs w:val="24"/>
          <w:shd w:val="clear" w:color="auto" w:fill="FFFFFF"/>
        </w:rPr>
        <w:instrText>ADDIN CSL_CITATION {"citationItems":[{"id":"ITEM-1","itemData":{"ISSN":"0016-6731","PMID":"10747051","abstract":"The SIR1 gene is one of four specialized genes in Saccharomyces cerevisiae required for repressing transcription at the silent mating-type cassettes, HMLalpha and HMRa, by a mechanism known as silencing. Silencing requires the assembly of a specialized chromatin structure analogous to heterochromatin. FKH1 was isolated as a gene that, when expressed in multiple copies, could substitute for the function of SIR1 in silencing HMRa. FKH1 (Forkhead Homologue One) was named for its homology to the forkhead family of eukaryotic transcription factors classified on the basis of a conserved DNA binding domain. Deletion of FKH1 caused a defect in silencing HMRa, indicating that FKH1 has a positive role in silencing. Significantly, deletion of both FKH1 and its closest homologue in yeast, FKH2, caused a form of yeast pseudohyphal growth, indicating that the two genes have redundant functions in controlling yeast cell morphology. By several criteria, fkh1Delta fkh2Delta-induced pseudohyphal growth was distinct from the nutritionally induced form of pseudohyphal growth observed in some strains of S. cerevisiae. Although FKH2 is redundant with FKH1 in controlling pseudohyphal growth, the two genes have different functions in silencing HMRa. High-copy expression of CLB2, a G2/M-phase cyclin, prevented fkh1Delta fkh2Delta-induced pseudohyphal growth and modulated some of the fkhDelta-induced silencing phenotypes. Interestingly, deletions in either FKH1 or FKH2 alone caused subtle but opposite effects on cell-cycle progression and CLB2 mRNA expression, consistent with a role for each of these genes in modulating the cell cycle and having opposing effects on silencing. The differences between Fkh1p and Fkh2p in vivo were not attributable to differences in their DNA binding domains.","author":[{"dropping-particle":"","family":"Hollenhorst","given":"P C","non-dropping-particle":"","parse-names":false,"suffix":""},{"dropping-particle":"","family":"Bose","given":"M E","non-dropping-particle":"","parse-names":false,"suffix":""},{"dropping-particle":"","family":"Mielke","given":"M R","non-dropping-particle":"","parse-names":false,"suffix":""},{"dropping-particle":"","family":"Müller","given":"U","non-dropping-particle":"","parse-names":false,"suffix":""},{"dropping-particle":"","family":"Fox","given":"C A","non-dropping-particle":"","parse-names":false,"suffix":""}],"container-title":"Genetics","id":"ITEM-1","issue":"4","issued":{"date-parts":[["2000","4"]]},"page":"1533-48","title":"Forkhead genes in transcriptional silencing, cell morphology and the cell cycle. Overlapping and distinct functions for FKH1 and FKH2 in Saccharomyces cerevisiae.","type":"article-journal","volume":"154"},"uris":["http://www.mendeley.com/documents/?uuid=f77d3a91-7986-3d0e-b3e5-5055b4d358ba"]}],"mendeley":{"formattedCitation":"(Hollenhorst et al. 2000)","plainTextFormattedCitation":"(Hollenhorst et al. 2000)","previouslyFormattedCitation":"(Hollenhorst et al. 2000)"},"properties":{"noteIndex":0},"schema":"https://github.com/citation-style-language/schema/raw/master/csl-citation.json"}</w:instrText>
      </w:r>
      <w:r w:rsidR="003211CF" w:rsidRPr="007A7B81">
        <w:rPr>
          <w:rFonts w:cstheme="minorHAnsi"/>
          <w:color w:val="000000"/>
          <w:sz w:val="24"/>
          <w:szCs w:val="24"/>
          <w:shd w:val="clear" w:color="auto" w:fill="FFFFFF"/>
        </w:rPr>
        <w:fldChar w:fldCharType="separate"/>
      </w:r>
      <w:r w:rsidR="007A7B81" w:rsidRPr="007A7B81">
        <w:rPr>
          <w:rFonts w:cstheme="minorHAnsi"/>
          <w:noProof/>
          <w:color w:val="000000"/>
          <w:sz w:val="24"/>
          <w:szCs w:val="24"/>
          <w:shd w:val="clear" w:color="auto" w:fill="FFFFFF"/>
        </w:rPr>
        <w:t>(</w:t>
      </w:r>
      <w:proofErr w:type="spellStart"/>
      <w:r w:rsidR="007A7B81" w:rsidRPr="007A7B81">
        <w:rPr>
          <w:rFonts w:cstheme="minorHAnsi"/>
          <w:noProof/>
          <w:color w:val="000000"/>
          <w:sz w:val="24"/>
          <w:szCs w:val="24"/>
          <w:shd w:val="clear" w:color="auto" w:fill="FFFFFF"/>
        </w:rPr>
        <w:t>Hollenhorst</w:t>
      </w:r>
      <w:proofErr w:type="spellEnd"/>
      <w:r w:rsidR="007A7B81" w:rsidRPr="007A7B81">
        <w:rPr>
          <w:rFonts w:cstheme="minorHAnsi"/>
          <w:noProof/>
          <w:color w:val="000000"/>
          <w:sz w:val="24"/>
          <w:szCs w:val="24"/>
          <w:shd w:val="clear" w:color="auto" w:fill="FFFFFF"/>
        </w:rPr>
        <w:t xml:space="preserve"> et al. 2000)</w:t>
      </w:r>
      <w:r w:rsidR="003211CF" w:rsidRPr="007A7B81">
        <w:rPr>
          <w:rFonts w:cstheme="minorHAnsi"/>
          <w:color w:val="000000"/>
          <w:sz w:val="24"/>
          <w:szCs w:val="24"/>
          <w:shd w:val="clear" w:color="auto" w:fill="FFFFFF"/>
        </w:rPr>
        <w:fldChar w:fldCharType="end"/>
      </w:r>
      <w:r w:rsidRPr="007A7B81">
        <w:rPr>
          <w:rFonts w:cstheme="minorHAnsi"/>
          <w:color w:val="000000"/>
          <w:sz w:val="24"/>
          <w:szCs w:val="24"/>
          <w:shd w:val="clear" w:color="auto" w:fill="FFFFFF"/>
        </w:rPr>
        <w:t xml:space="preserve">. plasmid pRS426 was digested by </w:t>
      </w:r>
      <w:proofErr w:type="spellStart"/>
      <w:r w:rsidRPr="007A7B81">
        <w:rPr>
          <w:rFonts w:cstheme="minorHAnsi"/>
          <w:color w:val="000000"/>
          <w:sz w:val="24"/>
          <w:szCs w:val="24"/>
          <w:shd w:val="clear" w:color="auto" w:fill="FFFFFF"/>
        </w:rPr>
        <w:t>BamHI</w:t>
      </w:r>
      <w:proofErr w:type="spellEnd"/>
      <w:r w:rsidRPr="007A7B81">
        <w:rPr>
          <w:rFonts w:cstheme="minorHAnsi"/>
          <w:color w:val="000000"/>
          <w:sz w:val="24"/>
          <w:szCs w:val="24"/>
          <w:shd w:val="clear" w:color="auto" w:fill="FFFFFF"/>
        </w:rPr>
        <w:t xml:space="preserve"> restriction enzyme, and was ligated with a genomic amplicon of the CLB2 gene, including 1000bp upstream and 300bp downstream.</w:t>
      </w:r>
      <w:r w:rsidR="00182140" w:rsidRPr="007A7B81">
        <w:rPr>
          <w:rFonts w:cstheme="minorHAnsi"/>
          <w:color w:val="000000"/>
          <w:sz w:val="24"/>
          <w:szCs w:val="24"/>
          <w:shd w:val="clear" w:color="auto" w:fill="FFFFFF"/>
        </w:rPr>
        <w:t xml:space="preserve"> Ligated plasmid was used for transformation</w:t>
      </w:r>
      <w:r w:rsidRPr="007A7B81">
        <w:rPr>
          <w:rFonts w:cstheme="minorHAnsi"/>
          <w:color w:val="000000"/>
          <w:sz w:val="24"/>
          <w:szCs w:val="24"/>
          <w:shd w:val="clear" w:color="auto" w:fill="FFFFFF"/>
        </w:rPr>
        <w:t>, and colonies were selected by growing on uracil depleted plates.</w:t>
      </w:r>
    </w:p>
    <w:p w14:paraId="5EBF60EE" w14:textId="39D37C58" w:rsidR="008069E5" w:rsidRPr="007A7B81" w:rsidRDefault="008069E5" w:rsidP="001B0741">
      <w:pPr>
        <w:spacing w:line="360" w:lineRule="auto"/>
        <w:jc w:val="both"/>
        <w:rPr>
          <w:rFonts w:cstheme="minorHAnsi"/>
          <w:b/>
          <w:bCs/>
          <w:color w:val="000000"/>
          <w:sz w:val="24"/>
          <w:szCs w:val="24"/>
          <w:shd w:val="clear" w:color="auto" w:fill="FFFFFF"/>
        </w:rPr>
      </w:pPr>
      <w:r w:rsidRPr="007A7B81">
        <w:rPr>
          <w:rFonts w:cstheme="minorHAnsi"/>
          <w:b/>
          <w:bCs/>
          <w:color w:val="000000"/>
          <w:sz w:val="24"/>
          <w:szCs w:val="24"/>
          <w:shd w:val="clear" w:color="auto" w:fill="FFFFFF"/>
        </w:rPr>
        <w:t xml:space="preserve">Quantifying Cln3 mutation effect on cell cycle </w:t>
      </w:r>
    </w:p>
    <w:p w14:paraId="01561716" w14:textId="15037B83" w:rsidR="008069E5" w:rsidRPr="007A7B81" w:rsidRDefault="003D0254" w:rsidP="003211CF">
      <w:pPr>
        <w:spacing w:line="360" w:lineRule="auto"/>
        <w:jc w:val="both"/>
        <w:rPr>
          <w:rFonts w:cstheme="minorHAnsi"/>
          <w:color w:val="000000"/>
          <w:sz w:val="24"/>
          <w:szCs w:val="24"/>
          <w:shd w:val="clear" w:color="auto" w:fill="FFFFFF"/>
        </w:rPr>
      </w:pPr>
      <w:r w:rsidRPr="007A7B81">
        <w:rPr>
          <w:rFonts w:cstheme="minorHAnsi"/>
          <w:color w:val="000000"/>
          <w:sz w:val="24"/>
          <w:szCs w:val="24"/>
          <w:shd w:val="clear" w:color="auto" w:fill="FFFFFF"/>
        </w:rPr>
        <w:t>Quantifying cell cycle effect w</w:t>
      </w:r>
      <w:r w:rsidR="003211CF" w:rsidRPr="007A7B81">
        <w:rPr>
          <w:rFonts w:cstheme="minorHAnsi"/>
          <w:color w:val="000000"/>
          <w:sz w:val="24"/>
          <w:szCs w:val="24"/>
          <w:shd w:val="clear" w:color="auto" w:fill="FFFFFF"/>
        </w:rPr>
        <w:t>as done as previously reported</w:t>
      </w:r>
      <w:r w:rsidR="003211CF" w:rsidRPr="007A7B81">
        <w:rPr>
          <w:rFonts w:cstheme="minorHAnsi"/>
          <w:color w:val="000000"/>
          <w:sz w:val="24"/>
          <w:szCs w:val="24"/>
          <w:shd w:val="clear" w:color="auto" w:fill="FFFFFF"/>
        </w:rPr>
        <w:fldChar w:fldCharType="begin" w:fldLock="1"/>
      </w:r>
      <w:r w:rsidR="007A7B81">
        <w:rPr>
          <w:rFonts w:cstheme="minorHAnsi"/>
          <w:color w:val="000000"/>
          <w:sz w:val="24"/>
          <w:szCs w:val="24"/>
          <w:shd w:val="clear" w:color="auto" w:fill="FFFFFF"/>
        </w:rPr>
        <w:instrText>ADDIN CSL_CITATION {"citationItems":[{"id":"ITEM-1","itemData":{"ISSN":"22111247","abstract":"Jonas et al. develop a visual framework to understand the emergence of cell size from the cooperation of multiple size control mechanisms during the cell cycle. With this framework they analyze the size changes after environmental and genetic perturbations and probe the interaction between size control at different cell cycle phases.","author":[{"dropping-particle":"","family":"Jonas","given":"Felix","non-dropping-particle":"","parse-names":false,"suffix":""},{"dropping-particle":"","family":"Soifer","given":"Ilya","non-dropping-particle":"","parse-names":false,"suffix":""},{"dropping-particle":"","family":"Barkai","given":"Naama","non-dropping-particle":"","parse-names":false,"suffix":""}],"container-title":"Cell Reports","id":"ITEM-1","issue":"12","issued":{"date-parts":[["2018","12","18"]]},"page":"3519-3529.e2","publisher":"Elsevier B.V.","title":"A Visual Framework for Classifying Determinants of Cell Size","type":"article-journal","volume":"25"},"uris":["http://www.mendeley.com/documents/?uuid=124cae33-1013-3826-9fb0-d1d01d99c2e7"]}],"mendeley":{"formattedCitation":"(Jonas et al. 2018)","plainTextFormattedCitation":"(Jonas et al. 2018)","previouslyFormattedCitation":"(Jonas et al. 2018)"},"properties":{"noteIndex":0},"schema":"https://github.com/citation-style-language/schema/raw/master/csl-citation.json"}</w:instrText>
      </w:r>
      <w:r w:rsidR="003211CF" w:rsidRPr="007A7B81">
        <w:rPr>
          <w:rFonts w:cstheme="minorHAnsi"/>
          <w:color w:val="000000"/>
          <w:sz w:val="24"/>
          <w:szCs w:val="24"/>
          <w:shd w:val="clear" w:color="auto" w:fill="FFFFFF"/>
        </w:rPr>
        <w:fldChar w:fldCharType="separate"/>
      </w:r>
      <w:r w:rsidR="007A7B81" w:rsidRPr="007A7B81">
        <w:rPr>
          <w:rFonts w:cstheme="minorHAnsi"/>
          <w:noProof/>
          <w:color w:val="000000"/>
          <w:sz w:val="24"/>
          <w:szCs w:val="24"/>
          <w:shd w:val="clear" w:color="auto" w:fill="FFFFFF"/>
        </w:rPr>
        <w:t>(Jonas et al. 2018)</w:t>
      </w:r>
      <w:r w:rsidR="003211CF" w:rsidRPr="007A7B81">
        <w:rPr>
          <w:rFonts w:cstheme="minorHAnsi"/>
          <w:color w:val="000000"/>
          <w:sz w:val="24"/>
          <w:szCs w:val="24"/>
          <w:shd w:val="clear" w:color="auto" w:fill="FFFFFF"/>
        </w:rPr>
        <w:fldChar w:fldCharType="end"/>
      </w:r>
      <w:r w:rsidRPr="007A7B81">
        <w:rPr>
          <w:rFonts w:cstheme="minorHAnsi"/>
          <w:color w:val="000000"/>
          <w:sz w:val="24"/>
          <w:szCs w:val="24"/>
          <w:shd w:val="clear" w:color="auto" w:fill="FFFFFF"/>
        </w:rPr>
        <w:t>. Briefly, cells</w:t>
      </w:r>
      <w:r w:rsidR="0002785E" w:rsidRPr="007A7B81">
        <w:rPr>
          <w:rFonts w:cstheme="minorHAnsi"/>
          <w:color w:val="000000"/>
          <w:sz w:val="24"/>
          <w:szCs w:val="24"/>
          <w:shd w:val="clear" w:color="auto" w:fill="FFFFFF"/>
        </w:rPr>
        <w:t xml:space="preserve"> were</w:t>
      </w:r>
      <w:r w:rsidRPr="007A7B81">
        <w:rPr>
          <w:rFonts w:cstheme="minorHAnsi"/>
          <w:color w:val="000000"/>
          <w:sz w:val="24"/>
          <w:szCs w:val="24"/>
          <w:shd w:val="clear" w:color="auto" w:fill="FFFFFF"/>
        </w:rPr>
        <w:t xml:space="preserve"> grown over-night to saturation in SD media, and diluted in morning to fresh SD media until reaching OD~0.2. Cells were mounted for imaging on SD-agar pads in 96-well plate with SD medium. Growth of micro colonies at 30°C was observed with a fully automated Zeiss Axio Observer Z1 inverted microscope equipped with a motorized XY and Z stage, external excitation and emission filter wheels (Prior), IR-based Definite Autofocus from Zeiss and a 63 × oil objective. Fluorescent proteins were detected with the 46 and 47 filter set from Zeiss for YFP and CFP respectively. Exposure times and fluorescent intensity for the YFP or CFP detection were 150 and 100 ms. Images were acquired with the Orca FLASH 4.0 v2 CMOS camera (Hamamatsu). The microscopic setup allowed sequential imaging of bright field (- 1.5 um offset for image analysis), and both fluorescence channels for 20 positions in 3 min and over 6 hr. Image analysis was performed by a custom made</w:t>
      </w:r>
      <w:r w:rsidR="00D250B4" w:rsidRPr="007A7B81">
        <w:rPr>
          <w:rFonts w:cstheme="minorHAnsi"/>
          <w:color w:val="000000"/>
          <w:sz w:val="24"/>
          <w:szCs w:val="24"/>
          <w:shd w:val="clear" w:color="auto" w:fill="FFFFFF"/>
          <w:rtl/>
        </w:rPr>
        <w:t xml:space="preserve"> </w:t>
      </w:r>
      <w:proofErr w:type="spellStart"/>
      <w:r w:rsidR="00D250B4" w:rsidRPr="007A7B81">
        <w:rPr>
          <w:rFonts w:cstheme="minorHAnsi"/>
          <w:color w:val="000000"/>
          <w:sz w:val="24"/>
          <w:szCs w:val="24"/>
          <w:shd w:val="clear" w:color="auto" w:fill="FFFFFF"/>
        </w:rPr>
        <w:t>matlab</w:t>
      </w:r>
      <w:proofErr w:type="spellEnd"/>
      <w:r w:rsidR="003211CF" w:rsidRPr="007A7B81">
        <w:rPr>
          <w:rFonts w:cstheme="minorHAnsi"/>
          <w:color w:val="000000"/>
          <w:sz w:val="24"/>
          <w:szCs w:val="24"/>
          <w:shd w:val="clear" w:color="auto" w:fill="FFFFFF"/>
        </w:rPr>
        <w:t xml:space="preserve"> software</w:t>
      </w:r>
      <w:r w:rsidR="00D250B4" w:rsidRPr="007A7B81">
        <w:rPr>
          <w:rFonts w:cstheme="minorHAnsi"/>
          <w:color w:val="000000"/>
          <w:sz w:val="24"/>
          <w:szCs w:val="24"/>
          <w:shd w:val="clear" w:color="auto" w:fill="FFFFFF"/>
        </w:rPr>
        <w:t xml:space="preserve"> </w:t>
      </w:r>
      <w:r w:rsidRPr="007A7B81">
        <w:rPr>
          <w:rFonts w:cstheme="minorHAnsi"/>
          <w:color w:val="000000"/>
          <w:sz w:val="24"/>
          <w:szCs w:val="24"/>
          <w:shd w:val="clear" w:color="auto" w:fill="FFFFFF"/>
        </w:rPr>
        <w:t>as previously described</w:t>
      </w:r>
      <w:r w:rsidR="003211CF" w:rsidRPr="007A7B81">
        <w:rPr>
          <w:rFonts w:cstheme="minorHAnsi"/>
          <w:color w:val="000000"/>
          <w:sz w:val="24"/>
          <w:szCs w:val="24"/>
          <w:shd w:val="clear" w:color="auto" w:fill="FFFFFF"/>
        </w:rPr>
        <w:fldChar w:fldCharType="begin" w:fldLock="1"/>
      </w:r>
      <w:r w:rsidR="007A7B81">
        <w:rPr>
          <w:rFonts w:cstheme="minorHAnsi"/>
          <w:color w:val="000000"/>
          <w:sz w:val="24"/>
          <w:szCs w:val="24"/>
          <w:shd w:val="clear" w:color="auto" w:fill="FFFFFF"/>
        </w:rPr>
        <w:instrText>ADDIN CSL_CITATION {"citationItems":[{"id":"ITEM-1","itemData":{"ISSN":"22111247","abstract":"Jonas et al. develop a visual framework to understand the emergence of cell size from the cooperation of multiple size control mechanisms during the cell cycle. With this framework they analyze the size changes after environmental and genetic perturbations and probe the interaction between size control at different cell cycle phases.","author":[{"dropping-particle":"","family":"Jonas","given":"Felix","non-dropping-particle":"","parse-names":false,"suffix":""},{"dropping-particle":"","family":"Soifer","given":"Ilya","non-dropping-particle":"","parse-names":false,"suffix":""},{"dropping-particle":"","family":"Barkai","given":"Naama","non-dropping-particle":"","parse-names":false,"suffix":""}],"container-title":"Cell Reports","id":"ITEM-1","issue":"12","issued":{"date-parts":[["2018","12","18"]]},"page":"3519-3529.e2","publisher":"Elsevier B.V.","title":"A Visual Framework for Classifying Determinants of Cell Size","type":"article-journal","volume":"25"},"uris":["http://www.mendeley.com/documents/?uuid=124cae33-1013-3826-9fb0-d1d01d99c2e7"]}],"mendeley":{"formattedCitation":"(Jonas et al. 2018)","plainTextFormattedCitation":"(Jonas et al. 2018)","previouslyFormattedCitation":"(Jonas et al. 2018)"},"properties":{"noteIndex":0},"schema":"https://github.com/citation-style-language/schema/raw/master/csl-citation.json"}</w:instrText>
      </w:r>
      <w:r w:rsidR="003211CF" w:rsidRPr="007A7B81">
        <w:rPr>
          <w:rFonts w:cstheme="minorHAnsi"/>
          <w:color w:val="000000"/>
          <w:sz w:val="24"/>
          <w:szCs w:val="24"/>
          <w:shd w:val="clear" w:color="auto" w:fill="FFFFFF"/>
        </w:rPr>
        <w:fldChar w:fldCharType="separate"/>
      </w:r>
      <w:r w:rsidR="007A7B81" w:rsidRPr="007A7B81">
        <w:rPr>
          <w:rFonts w:cstheme="minorHAnsi"/>
          <w:noProof/>
          <w:color w:val="000000"/>
          <w:sz w:val="24"/>
          <w:szCs w:val="24"/>
          <w:shd w:val="clear" w:color="auto" w:fill="FFFFFF"/>
        </w:rPr>
        <w:t>(Jonas et al. 2018)</w:t>
      </w:r>
      <w:r w:rsidR="003211CF" w:rsidRPr="007A7B81">
        <w:rPr>
          <w:rFonts w:cstheme="minorHAnsi"/>
          <w:color w:val="000000"/>
          <w:sz w:val="24"/>
          <w:szCs w:val="24"/>
          <w:shd w:val="clear" w:color="auto" w:fill="FFFFFF"/>
        </w:rPr>
        <w:fldChar w:fldCharType="end"/>
      </w:r>
      <w:r w:rsidR="003211CF" w:rsidRPr="007A7B81">
        <w:rPr>
          <w:rFonts w:cstheme="minorHAnsi"/>
          <w:color w:val="000000"/>
          <w:sz w:val="24"/>
          <w:szCs w:val="24"/>
          <w:shd w:val="clear" w:color="auto" w:fill="FFFFFF"/>
        </w:rPr>
        <w:t>.</w:t>
      </w:r>
    </w:p>
    <w:p w14:paraId="6DDF6A1E" w14:textId="2877C7DE" w:rsidR="00223914" w:rsidRPr="007A7B81" w:rsidRDefault="00223914" w:rsidP="003D0254">
      <w:pPr>
        <w:spacing w:line="360" w:lineRule="auto"/>
        <w:jc w:val="both"/>
        <w:rPr>
          <w:rFonts w:cstheme="minorHAnsi"/>
          <w:b/>
          <w:bCs/>
          <w:color w:val="000000"/>
          <w:sz w:val="24"/>
          <w:szCs w:val="24"/>
          <w:shd w:val="clear" w:color="auto" w:fill="FFFFFF"/>
        </w:rPr>
      </w:pPr>
      <w:r w:rsidRPr="007A7B81">
        <w:rPr>
          <w:rFonts w:cstheme="minorHAnsi"/>
          <w:b/>
          <w:bCs/>
          <w:color w:val="000000"/>
          <w:sz w:val="24"/>
          <w:szCs w:val="24"/>
          <w:shd w:val="clear" w:color="auto" w:fill="FFFFFF"/>
        </w:rPr>
        <w:t>RT-qPCR</w:t>
      </w:r>
    </w:p>
    <w:p w14:paraId="7482A33D" w14:textId="77777777" w:rsidR="000E60A1" w:rsidRPr="007A7B81" w:rsidRDefault="00223914" w:rsidP="003D0254">
      <w:pPr>
        <w:spacing w:line="360" w:lineRule="auto"/>
        <w:jc w:val="both"/>
        <w:rPr>
          <w:rStyle w:val="Strong"/>
          <w:rFonts w:cstheme="minorHAnsi"/>
          <w:b w:val="0"/>
          <w:bCs w:val="0"/>
          <w:sz w:val="24"/>
          <w:szCs w:val="24"/>
          <w:shd w:val="clear" w:color="auto" w:fill="FFFFFF"/>
        </w:rPr>
      </w:pPr>
      <w:r w:rsidRPr="007A7B81">
        <w:rPr>
          <w:rFonts w:cstheme="minorHAnsi"/>
          <w:sz w:val="24"/>
          <w:szCs w:val="24"/>
          <w:shd w:val="clear" w:color="auto" w:fill="FFFFFF"/>
        </w:rPr>
        <w:lastRenderedPageBreak/>
        <w:t xml:space="preserve">RNA from exponentially growing cells was extracted as describe in main methods section, only using </w:t>
      </w:r>
      <w:r w:rsidRPr="007A7B81">
        <w:rPr>
          <w:rFonts w:cstheme="minorHAnsi"/>
          <w:sz w:val="24"/>
          <w:szCs w:val="24"/>
        </w:rPr>
        <w:t>nucleospin® 96 single columns (</w:t>
      </w:r>
      <w:r w:rsidRPr="007A7B81">
        <w:rPr>
          <w:rFonts w:cstheme="minorHAnsi"/>
          <w:sz w:val="24"/>
          <w:szCs w:val="24"/>
          <w:shd w:val="clear" w:color="auto" w:fill="FFFFFF"/>
        </w:rPr>
        <w:t xml:space="preserve">Macherey-Nagel™ cat 740955.50). cDNA was synthesized using </w:t>
      </w:r>
      <w:r w:rsidRPr="007A7B81">
        <w:rPr>
          <w:rStyle w:val="Strong"/>
          <w:rFonts w:cstheme="minorHAnsi"/>
          <w:b w:val="0"/>
          <w:bCs w:val="0"/>
          <w:sz w:val="24"/>
          <w:szCs w:val="24"/>
          <w:shd w:val="clear" w:color="auto" w:fill="FFFFFF"/>
        </w:rPr>
        <w:t>LunaScript</w:t>
      </w:r>
      <w:r w:rsidRPr="007A7B81">
        <w:rPr>
          <w:rStyle w:val="Strong"/>
          <w:rFonts w:cstheme="minorHAnsi"/>
          <w:b w:val="0"/>
          <w:bCs w:val="0"/>
          <w:sz w:val="24"/>
          <w:szCs w:val="24"/>
          <w:shd w:val="clear" w:color="auto" w:fill="FFFFFF"/>
          <w:vertAlign w:val="superscript"/>
        </w:rPr>
        <w:t>®</w:t>
      </w:r>
      <w:r w:rsidRPr="007A7B81">
        <w:rPr>
          <w:rStyle w:val="Strong"/>
          <w:rFonts w:cstheme="minorHAnsi"/>
          <w:b w:val="0"/>
          <w:bCs w:val="0"/>
          <w:sz w:val="24"/>
          <w:szCs w:val="24"/>
          <w:shd w:val="clear" w:color="auto" w:fill="FFFFFF"/>
        </w:rPr>
        <w:t> RT SuperMix Kit (NEB E3010) according to LunaScript</w:t>
      </w:r>
      <w:r w:rsidRPr="007A7B81">
        <w:rPr>
          <w:rStyle w:val="Strong"/>
          <w:rFonts w:cstheme="minorHAnsi"/>
          <w:b w:val="0"/>
          <w:bCs w:val="0"/>
          <w:sz w:val="24"/>
          <w:szCs w:val="24"/>
          <w:shd w:val="clear" w:color="auto" w:fill="FFFFFF"/>
          <w:vertAlign w:val="superscript"/>
        </w:rPr>
        <w:t>®</w:t>
      </w:r>
      <w:r w:rsidRPr="007A7B81">
        <w:rPr>
          <w:rStyle w:val="Strong"/>
          <w:rFonts w:cstheme="minorHAnsi"/>
          <w:b w:val="0"/>
          <w:bCs w:val="0"/>
          <w:sz w:val="24"/>
          <w:szCs w:val="24"/>
          <w:shd w:val="clear" w:color="auto" w:fill="FFFFFF"/>
        </w:rPr>
        <w:t> protocol.</w:t>
      </w:r>
      <w:r w:rsidR="00EC67F0" w:rsidRPr="007A7B81">
        <w:rPr>
          <w:rStyle w:val="Strong"/>
          <w:rFonts w:cstheme="minorHAnsi"/>
          <w:b w:val="0"/>
          <w:bCs w:val="0"/>
          <w:sz w:val="24"/>
          <w:szCs w:val="24"/>
          <w:shd w:val="clear" w:color="auto" w:fill="FFFFFF"/>
        </w:rPr>
        <w:t xml:space="preserve"> </w:t>
      </w:r>
      <w:r w:rsidR="00421608" w:rsidRPr="007A7B81">
        <w:rPr>
          <w:rStyle w:val="Strong"/>
          <w:rFonts w:cstheme="minorHAnsi"/>
          <w:b w:val="0"/>
          <w:bCs w:val="0"/>
          <w:sz w:val="24"/>
          <w:szCs w:val="24"/>
          <w:shd w:val="clear" w:color="auto" w:fill="FFFFFF"/>
        </w:rPr>
        <w:t xml:space="preserve"> RT-qPCR reaction was measured in a 96 well plate using </w:t>
      </w:r>
      <w:proofErr w:type="spellStart"/>
      <w:r w:rsidR="00421608" w:rsidRPr="007A7B81">
        <w:rPr>
          <w:rStyle w:val="Strong"/>
          <w:rFonts w:cstheme="minorHAnsi"/>
          <w:b w:val="0"/>
          <w:bCs w:val="0"/>
          <w:sz w:val="24"/>
          <w:szCs w:val="24"/>
          <w:shd w:val="clear" w:color="auto" w:fill="FFFFFF"/>
        </w:rPr>
        <w:t>StepOnePlus</w:t>
      </w:r>
      <w:proofErr w:type="spellEnd"/>
      <w:r w:rsidR="00421608" w:rsidRPr="007A7B81">
        <w:rPr>
          <w:rStyle w:val="Strong"/>
          <w:rFonts w:cstheme="minorHAnsi"/>
          <w:b w:val="0"/>
          <w:bCs w:val="0"/>
          <w:sz w:val="24"/>
          <w:szCs w:val="24"/>
          <w:shd w:val="clear" w:color="auto" w:fill="FFFFFF"/>
        </w:rPr>
        <w:t>™ Real-Time PCR system</w:t>
      </w:r>
      <w:r w:rsidR="00AB58ED" w:rsidRPr="007A7B81">
        <w:rPr>
          <w:rStyle w:val="Strong"/>
          <w:rFonts w:cstheme="minorHAnsi"/>
          <w:b w:val="0"/>
          <w:bCs w:val="0"/>
          <w:sz w:val="24"/>
          <w:szCs w:val="24"/>
          <w:shd w:val="clear" w:color="auto" w:fill="FFFFFF"/>
        </w:rPr>
        <w:t>, in a 10ul reaction using Fast SYBR™ Green Master Mix</w:t>
      </w:r>
      <w:r w:rsidR="00421608" w:rsidRPr="007A7B81">
        <w:rPr>
          <w:rStyle w:val="Strong"/>
          <w:rFonts w:cstheme="minorHAnsi"/>
          <w:b w:val="0"/>
          <w:bCs w:val="0"/>
          <w:sz w:val="24"/>
          <w:szCs w:val="24"/>
          <w:shd w:val="clear" w:color="auto" w:fill="FFFFFF"/>
        </w:rPr>
        <w:t>.</w:t>
      </w:r>
      <w:r w:rsidR="00460E26" w:rsidRPr="007A7B81">
        <w:rPr>
          <w:rStyle w:val="Strong"/>
          <w:rFonts w:cstheme="minorHAnsi"/>
          <w:b w:val="0"/>
          <w:bCs w:val="0"/>
          <w:sz w:val="24"/>
          <w:szCs w:val="24"/>
          <w:shd w:val="clear" w:color="auto" w:fill="FFFFFF"/>
        </w:rPr>
        <w:t xml:space="preserve"> </w:t>
      </w:r>
    </w:p>
    <w:p w14:paraId="6E5DF8FB" w14:textId="30C79A99" w:rsidR="00421608" w:rsidRPr="007A7B81" w:rsidRDefault="00460E26" w:rsidP="003D0254">
      <w:pPr>
        <w:spacing w:line="360" w:lineRule="auto"/>
        <w:jc w:val="both"/>
        <w:rPr>
          <w:rStyle w:val="Strong"/>
          <w:rFonts w:cstheme="minorHAnsi"/>
          <w:b w:val="0"/>
          <w:bCs w:val="0"/>
          <w:sz w:val="24"/>
          <w:szCs w:val="24"/>
          <w:shd w:val="clear" w:color="auto" w:fill="FFFFFF"/>
        </w:rPr>
      </w:pPr>
      <w:r w:rsidRPr="007A7B81">
        <w:rPr>
          <w:rStyle w:val="Strong"/>
          <w:rFonts w:cstheme="minorHAnsi"/>
          <w:b w:val="0"/>
          <w:bCs w:val="0"/>
          <w:sz w:val="24"/>
          <w:szCs w:val="24"/>
          <w:shd w:val="clear" w:color="auto" w:fill="FFFFFF"/>
        </w:rPr>
        <w:t xml:space="preserve">For measuring Ace2 levels, the following primers were used: </w:t>
      </w:r>
      <w:r w:rsidRPr="007A7B81">
        <w:rPr>
          <w:rFonts w:cstheme="minorHAnsi"/>
          <w:color w:val="000000"/>
          <w:sz w:val="24"/>
          <w:szCs w:val="24"/>
        </w:rPr>
        <w:t>ATCCGCAACCCATGGAACTC, CGCCACCTCTTCTTGCTCTTC. For measuring Fkh2 in S. cerevisiae the following primers were used:  TACCATCAATCCACAAGCGGCTTC</w:t>
      </w:r>
      <w:r w:rsidR="000E60A1" w:rsidRPr="007A7B81">
        <w:rPr>
          <w:rFonts w:cstheme="minorHAnsi"/>
          <w:color w:val="000000"/>
          <w:sz w:val="24"/>
          <w:szCs w:val="24"/>
        </w:rPr>
        <w:t>,</w:t>
      </w:r>
      <w:r w:rsidRPr="007A7B81">
        <w:rPr>
          <w:rFonts w:cstheme="minorHAnsi"/>
          <w:color w:val="000000"/>
          <w:sz w:val="24"/>
          <w:szCs w:val="24"/>
        </w:rPr>
        <w:t xml:space="preserve"> TCGGCTAGTGAAATAACTCCCTCC. For measuring Fkh2 in S. paradoxus and Fkh2-SWAP strain the following primers were used: ATCAGCGAATGCCTATCCTCAAGC, GCCGGACTTAGCAAACCTGTAG. All results were compared to the house-keeping genes ACT1 (</w:t>
      </w:r>
      <w:r w:rsidRPr="007A7B81">
        <w:rPr>
          <w:rFonts w:cstheme="minorHAnsi"/>
          <w:color w:val="000000"/>
          <w:sz w:val="24"/>
          <w:szCs w:val="24"/>
          <w:shd w:val="clear" w:color="auto" w:fill="FFFFFF"/>
        </w:rPr>
        <w:t>GTGTGATGTCGATGTCCGTA, TTCTTTCTGGAGGAGCAATG), and TAF10 (TGTCGCAGAAAACATGAAGA, ATCGGGAATGATAGGAGGAG).</w:t>
      </w:r>
    </w:p>
    <w:p w14:paraId="163B6824" w14:textId="2465BF05" w:rsidR="00223914" w:rsidRPr="007A7B81" w:rsidRDefault="00421608" w:rsidP="003D0254">
      <w:pPr>
        <w:spacing w:line="360" w:lineRule="auto"/>
        <w:jc w:val="both"/>
        <w:rPr>
          <w:rFonts w:cstheme="minorHAnsi"/>
          <w:sz w:val="24"/>
          <w:szCs w:val="24"/>
          <w:shd w:val="clear" w:color="auto" w:fill="FFFFFF"/>
        </w:rPr>
      </w:pPr>
      <w:r w:rsidRPr="007A7B81">
        <w:rPr>
          <w:rStyle w:val="Strong"/>
          <w:rFonts w:cstheme="minorHAnsi"/>
          <w:b w:val="0"/>
          <w:bCs w:val="0"/>
          <w:sz w:val="24"/>
          <w:szCs w:val="24"/>
          <w:shd w:val="clear" w:color="auto" w:fill="FFFFFF"/>
        </w:rPr>
        <w:t xml:space="preserve"> </w:t>
      </w:r>
    </w:p>
    <w:p w14:paraId="66C4B8E2" w14:textId="5C3E9A0A" w:rsidR="00864671" w:rsidRPr="007A7B81" w:rsidRDefault="00864671" w:rsidP="001B0741">
      <w:pPr>
        <w:spacing w:line="360" w:lineRule="auto"/>
        <w:jc w:val="both"/>
        <w:rPr>
          <w:rFonts w:cstheme="minorHAnsi"/>
          <w:b/>
          <w:bCs/>
          <w:sz w:val="24"/>
          <w:szCs w:val="24"/>
        </w:rPr>
      </w:pPr>
      <w:bookmarkStart w:id="1" w:name="_Toc22824268"/>
      <w:bookmarkStart w:id="2" w:name="_Toc26436298"/>
      <w:r w:rsidRPr="007A7B81">
        <w:rPr>
          <w:rFonts w:cstheme="minorHAnsi"/>
          <w:b/>
          <w:bCs/>
          <w:sz w:val="24"/>
          <w:szCs w:val="24"/>
        </w:rPr>
        <w:t>ChEC-Seq experiments</w:t>
      </w:r>
      <w:bookmarkEnd w:id="1"/>
      <w:bookmarkEnd w:id="2"/>
      <w:r w:rsidRPr="007A7B81">
        <w:rPr>
          <w:rFonts w:cstheme="minorHAnsi"/>
          <w:b/>
          <w:bCs/>
          <w:sz w:val="24"/>
          <w:szCs w:val="24"/>
        </w:rPr>
        <w:t xml:space="preserve"> multi-copy Clb2</w:t>
      </w:r>
    </w:p>
    <w:p w14:paraId="68A85237" w14:textId="343189D6" w:rsidR="00864671" w:rsidRPr="007A7B81" w:rsidRDefault="00864671" w:rsidP="001B0741">
      <w:pPr>
        <w:spacing w:line="360" w:lineRule="auto"/>
        <w:jc w:val="both"/>
        <w:rPr>
          <w:rFonts w:cstheme="minorHAnsi"/>
          <w:sz w:val="24"/>
          <w:szCs w:val="24"/>
        </w:rPr>
      </w:pPr>
      <w:proofErr w:type="spellStart"/>
      <w:r w:rsidRPr="007A7B81">
        <w:rPr>
          <w:rFonts w:cstheme="minorHAnsi"/>
          <w:sz w:val="24"/>
          <w:szCs w:val="24"/>
        </w:rPr>
        <w:t>ChEC</w:t>
      </w:r>
      <w:proofErr w:type="spellEnd"/>
      <w:r w:rsidRPr="007A7B81">
        <w:rPr>
          <w:rFonts w:cstheme="minorHAnsi"/>
          <w:sz w:val="24"/>
          <w:szCs w:val="24"/>
        </w:rPr>
        <w:t xml:space="preserve">-seq experiments on strain expressing the multicopy Clb2 plasmid was done as described in main methods section, only using SD -uracil media instead of YPD to prevent plasmid </w:t>
      </w:r>
      <w:r w:rsidR="008F7D54" w:rsidRPr="007A7B81">
        <w:rPr>
          <w:rFonts w:cstheme="minorHAnsi"/>
          <w:sz w:val="24"/>
          <w:szCs w:val="24"/>
        </w:rPr>
        <w:t>loss.</w:t>
      </w:r>
    </w:p>
    <w:p w14:paraId="29BD3538" w14:textId="77777777" w:rsidR="001B0741" w:rsidRPr="007A7B81" w:rsidRDefault="001B0741" w:rsidP="001B0741">
      <w:pPr>
        <w:pStyle w:val="Body"/>
        <w:spacing w:line="360" w:lineRule="auto"/>
        <w:contextualSpacing/>
        <w:jc w:val="both"/>
        <w:rPr>
          <w:rFonts w:asciiTheme="minorHAnsi" w:hAnsiTheme="minorHAnsi" w:cstheme="minorHAnsi"/>
          <w:i/>
          <w:iCs/>
          <w:sz w:val="24"/>
          <w:szCs w:val="24"/>
        </w:rPr>
      </w:pPr>
    </w:p>
    <w:p w14:paraId="12657BE6" w14:textId="5A4ED861" w:rsidR="003211CF" w:rsidRPr="007A7B81" w:rsidRDefault="003211CF" w:rsidP="00136381">
      <w:pPr>
        <w:pStyle w:val="Body"/>
        <w:spacing w:line="360" w:lineRule="auto"/>
        <w:contextualSpacing/>
        <w:jc w:val="both"/>
        <w:rPr>
          <w:rFonts w:asciiTheme="minorHAnsi" w:hAnsiTheme="minorHAnsi" w:cstheme="minorHAnsi"/>
          <w:sz w:val="24"/>
          <w:szCs w:val="24"/>
        </w:rPr>
      </w:pPr>
    </w:p>
    <w:p w14:paraId="1DCFF96D" w14:textId="2DA89109" w:rsidR="003211CF" w:rsidRPr="007A7B81" w:rsidRDefault="003211CF" w:rsidP="00EF29AE">
      <w:pPr>
        <w:pStyle w:val="Heading1"/>
      </w:pPr>
      <w:r w:rsidRPr="007A7B81">
        <w:t>References</w:t>
      </w:r>
    </w:p>
    <w:p w14:paraId="356BDCA9" w14:textId="247BAB61" w:rsidR="007A7B81" w:rsidRPr="007A7B81" w:rsidRDefault="003211CF" w:rsidP="007A7B81">
      <w:pPr>
        <w:widowControl w:val="0"/>
        <w:autoSpaceDE w:val="0"/>
        <w:autoSpaceDN w:val="0"/>
        <w:adjustRightInd w:val="0"/>
        <w:spacing w:after="0" w:line="360" w:lineRule="auto"/>
        <w:rPr>
          <w:rFonts w:ascii="Calibri" w:hAnsi="Calibri" w:cs="Times New Roman"/>
          <w:noProof/>
          <w:sz w:val="24"/>
          <w:szCs w:val="24"/>
        </w:rPr>
      </w:pPr>
      <w:r w:rsidRPr="007A7B81">
        <w:rPr>
          <w:rFonts w:cstheme="minorHAnsi"/>
          <w:sz w:val="24"/>
          <w:szCs w:val="24"/>
        </w:rPr>
        <w:fldChar w:fldCharType="begin" w:fldLock="1"/>
      </w:r>
      <w:r w:rsidRPr="007A7B81">
        <w:rPr>
          <w:rFonts w:cstheme="minorHAnsi"/>
          <w:sz w:val="24"/>
          <w:szCs w:val="24"/>
        </w:rPr>
        <w:instrText xml:space="preserve">ADDIN Mendeley Bibliography CSL_BIBLIOGRAPHY </w:instrText>
      </w:r>
      <w:r w:rsidRPr="007A7B81">
        <w:rPr>
          <w:rFonts w:cstheme="minorHAnsi"/>
          <w:sz w:val="24"/>
          <w:szCs w:val="24"/>
        </w:rPr>
        <w:fldChar w:fldCharType="separate"/>
      </w:r>
      <w:r w:rsidR="007A7B81" w:rsidRPr="007A7B81">
        <w:rPr>
          <w:rFonts w:ascii="Calibri" w:hAnsi="Calibri" w:cs="Times New Roman"/>
          <w:noProof/>
          <w:sz w:val="24"/>
          <w:szCs w:val="24"/>
        </w:rPr>
        <w:t>Hollenhorst PC, Bose ME, Mielke MR, Müller U, Fox CA. 2000. Forkhead genes in transcriptional silencing, cell morphology and the cell cycle. Overlapping and distinct functions for FKH1 and FKH2 in Saccharomyces cerevisiae. Genetics. 154(4):1533–48. https://www.genetics.org/content/154/4/1533.</w:t>
      </w:r>
    </w:p>
    <w:p w14:paraId="05FD0468" w14:textId="77777777" w:rsidR="007A7B81" w:rsidRPr="007A7B81" w:rsidRDefault="007A7B81" w:rsidP="007A7B81">
      <w:pPr>
        <w:widowControl w:val="0"/>
        <w:autoSpaceDE w:val="0"/>
        <w:autoSpaceDN w:val="0"/>
        <w:adjustRightInd w:val="0"/>
        <w:spacing w:after="0" w:line="360" w:lineRule="auto"/>
        <w:rPr>
          <w:rFonts w:ascii="Calibri" w:hAnsi="Calibri"/>
          <w:noProof/>
          <w:sz w:val="24"/>
        </w:rPr>
      </w:pPr>
      <w:r w:rsidRPr="007A7B81">
        <w:rPr>
          <w:rFonts w:ascii="Calibri" w:hAnsi="Calibri" w:cs="Times New Roman"/>
          <w:noProof/>
          <w:sz w:val="24"/>
          <w:szCs w:val="24"/>
        </w:rPr>
        <w:t>Jonas F, Soifer I, Barkai N. 2018. A Visual Framework for Classifying Determinants of Cell Size. Cell Rep. 25(12):3519-3529.e2. http://doi.org/10.1016/j.celrep.2018.11.087.</w:t>
      </w:r>
    </w:p>
    <w:p w14:paraId="7ADC34A1" w14:textId="736558FF" w:rsidR="003211CF" w:rsidRPr="007A7B81" w:rsidRDefault="003211CF" w:rsidP="003211CF">
      <w:pPr>
        <w:pStyle w:val="Body"/>
        <w:spacing w:line="360" w:lineRule="auto"/>
        <w:contextualSpacing/>
        <w:jc w:val="both"/>
        <w:rPr>
          <w:rFonts w:asciiTheme="minorHAnsi" w:hAnsiTheme="minorHAnsi" w:cstheme="minorHAnsi"/>
          <w:sz w:val="24"/>
          <w:szCs w:val="24"/>
        </w:rPr>
      </w:pPr>
      <w:r w:rsidRPr="007A7B81">
        <w:rPr>
          <w:rFonts w:asciiTheme="minorHAnsi" w:hAnsiTheme="minorHAnsi" w:cstheme="minorHAnsi"/>
          <w:sz w:val="24"/>
          <w:szCs w:val="24"/>
        </w:rPr>
        <w:fldChar w:fldCharType="end"/>
      </w:r>
    </w:p>
    <w:p w14:paraId="41673841" w14:textId="3A609602" w:rsidR="005A2F4A" w:rsidRPr="007A7B81" w:rsidRDefault="005A2F4A" w:rsidP="001B0741">
      <w:pPr>
        <w:spacing w:line="360" w:lineRule="auto"/>
        <w:rPr>
          <w:rFonts w:cstheme="minorHAnsi"/>
          <w:sz w:val="24"/>
          <w:szCs w:val="24"/>
        </w:rPr>
      </w:pPr>
    </w:p>
    <w:sectPr w:rsidR="005A2F4A" w:rsidRPr="007A7B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F1F"/>
    <w:rsid w:val="0002785E"/>
    <w:rsid w:val="000E60A1"/>
    <w:rsid w:val="00136381"/>
    <w:rsid w:val="00182140"/>
    <w:rsid w:val="001B0741"/>
    <w:rsid w:val="00205DB4"/>
    <w:rsid w:val="00223914"/>
    <w:rsid w:val="003211CF"/>
    <w:rsid w:val="003D0254"/>
    <w:rsid w:val="00421608"/>
    <w:rsid w:val="00460E26"/>
    <w:rsid w:val="004E03E8"/>
    <w:rsid w:val="005A2F4A"/>
    <w:rsid w:val="00657063"/>
    <w:rsid w:val="007A7B81"/>
    <w:rsid w:val="008069E5"/>
    <w:rsid w:val="00864671"/>
    <w:rsid w:val="008F7D54"/>
    <w:rsid w:val="00AB58ED"/>
    <w:rsid w:val="00B57D76"/>
    <w:rsid w:val="00B83954"/>
    <w:rsid w:val="00BB3F1F"/>
    <w:rsid w:val="00BD7450"/>
    <w:rsid w:val="00D250B4"/>
    <w:rsid w:val="00E850E7"/>
    <w:rsid w:val="00EC67F0"/>
    <w:rsid w:val="00EF29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CAA6"/>
  <w15:chartTrackingRefBased/>
  <w15:docId w15:val="{D47A0485-E486-49DC-8882-EC32DD78A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29AE"/>
    <w:pPr>
      <w:keepNext/>
      <w:keepLines/>
      <w:spacing w:before="240" w:after="0"/>
      <w:outlineLvl w:val="0"/>
    </w:pPr>
    <w:rPr>
      <w:rFonts w:ascii="Calibri" w:eastAsiaTheme="majorEastAsia" w:hAnsi="Calibri"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1B0741"/>
    <w:pPr>
      <w:pBdr>
        <w:top w:val="nil"/>
        <w:left w:val="nil"/>
        <w:bottom w:val="nil"/>
        <w:right w:val="nil"/>
        <w:between w:val="nil"/>
        <w:bar w:val="nil"/>
      </w:pBdr>
      <w:spacing w:after="0" w:line="240" w:lineRule="auto"/>
    </w:pPr>
    <w:rPr>
      <w:rFonts w:ascii="Calibri" w:eastAsia="Calibri" w:hAnsi="Calibri" w:cs="Calibri"/>
      <w:color w:val="000000"/>
      <w:u w:color="000000"/>
      <w:bdr w:val="nil"/>
      <w14:textOutline w14:w="0" w14:cap="flat" w14:cmpd="sng" w14:algn="ctr">
        <w14:noFill/>
        <w14:prstDash w14:val="solid"/>
        <w14:bevel/>
      </w14:textOutline>
    </w:rPr>
  </w:style>
  <w:style w:type="character" w:customStyle="1" w:styleId="BodyChar">
    <w:name w:val="Body Char"/>
    <w:basedOn w:val="DefaultParagraphFont"/>
    <w:link w:val="Body"/>
    <w:rsid w:val="001B0741"/>
    <w:rPr>
      <w:rFonts w:ascii="Calibri" w:eastAsia="Calibri" w:hAnsi="Calibri" w:cs="Calibri"/>
      <w:color w:val="000000"/>
      <w:u w:color="000000"/>
      <w:bdr w:val="nil"/>
      <w:lang w:val="en-US"/>
      <w14:textOutline w14:w="0" w14:cap="flat" w14:cmpd="sng" w14:algn="ctr">
        <w14:noFill/>
        <w14:prstDash w14:val="solid"/>
        <w14:bevel/>
      </w14:textOutline>
    </w:rPr>
  </w:style>
  <w:style w:type="character" w:styleId="Hyperlink">
    <w:name w:val="Hyperlink"/>
    <w:basedOn w:val="DefaultParagraphFont"/>
    <w:uiPriority w:val="99"/>
    <w:semiHidden/>
    <w:unhideWhenUsed/>
    <w:rsid w:val="003D0254"/>
    <w:rPr>
      <w:color w:val="0000FF"/>
      <w:u w:val="single"/>
    </w:rPr>
  </w:style>
  <w:style w:type="character" w:styleId="Strong">
    <w:name w:val="Strong"/>
    <w:basedOn w:val="DefaultParagraphFont"/>
    <w:uiPriority w:val="22"/>
    <w:qFormat/>
    <w:rsid w:val="00223914"/>
    <w:rPr>
      <w:b/>
      <w:bCs/>
    </w:rPr>
  </w:style>
  <w:style w:type="character" w:customStyle="1" w:styleId="Heading1Char">
    <w:name w:val="Heading 1 Char"/>
    <w:basedOn w:val="DefaultParagraphFont"/>
    <w:link w:val="Heading1"/>
    <w:uiPriority w:val="9"/>
    <w:rsid w:val="00EF29AE"/>
    <w:rPr>
      <w:rFonts w:ascii="Calibri" w:eastAsiaTheme="majorEastAsia" w:hAnsi="Calibri"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572448">
      <w:bodyDiv w:val="1"/>
      <w:marLeft w:val="0"/>
      <w:marRight w:val="0"/>
      <w:marTop w:val="0"/>
      <w:marBottom w:val="0"/>
      <w:divBdr>
        <w:top w:val="none" w:sz="0" w:space="0" w:color="auto"/>
        <w:left w:val="none" w:sz="0" w:space="0" w:color="auto"/>
        <w:bottom w:val="none" w:sz="0" w:space="0" w:color="auto"/>
        <w:right w:val="none" w:sz="0" w:space="0" w:color="auto"/>
      </w:divBdr>
    </w:div>
    <w:div w:id="1749376564">
      <w:bodyDiv w:val="1"/>
      <w:marLeft w:val="0"/>
      <w:marRight w:val="0"/>
      <w:marTop w:val="0"/>
      <w:marBottom w:val="0"/>
      <w:divBdr>
        <w:top w:val="none" w:sz="0" w:space="0" w:color="auto"/>
        <w:left w:val="none" w:sz="0" w:space="0" w:color="auto"/>
        <w:bottom w:val="none" w:sz="0" w:space="0" w:color="auto"/>
        <w:right w:val="none" w:sz="0" w:space="0" w:color="auto"/>
      </w:divBdr>
    </w:div>
    <w:div w:id="1908570443">
      <w:bodyDiv w:val="1"/>
      <w:marLeft w:val="0"/>
      <w:marRight w:val="0"/>
      <w:marTop w:val="0"/>
      <w:marBottom w:val="0"/>
      <w:divBdr>
        <w:top w:val="none" w:sz="0" w:space="0" w:color="auto"/>
        <w:left w:val="none" w:sz="0" w:space="0" w:color="auto"/>
        <w:bottom w:val="none" w:sz="0" w:space="0" w:color="auto"/>
        <w:right w:val="none" w:sz="0" w:space="0" w:color="auto"/>
      </w:divBdr>
    </w:div>
    <w:div w:id="2062829002">
      <w:bodyDiv w:val="1"/>
      <w:marLeft w:val="0"/>
      <w:marRight w:val="0"/>
      <w:marTop w:val="0"/>
      <w:marBottom w:val="0"/>
      <w:divBdr>
        <w:top w:val="none" w:sz="0" w:space="0" w:color="auto"/>
        <w:left w:val="none" w:sz="0" w:space="0" w:color="auto"/>
        <w:bottom w:val="none" w:sz="0" w:space="0" w:color="auto"/>
        <w:right w:val="none" w:sz="0" w:space="0" w:color="auto"/>
      </w:divBdr>
    </w:div>
    <w:div w:id="21034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D6DEA-1EE3-4974-BCA2-3B2B3A70A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offir lupo</dc:creator>
  <cp:keywords/>
  <dc:description/>
  <cp:lastModifiedBy>offir lupo</cp:lastModifiedBy>
  <cp:revision>22</cp:revision>
  <dcterms:created xsi:type="dcterms:W3CDTF">2020-04-01T06:39:00Z</dcterms:created>
  <dcterms:modified xsi:type="dcterms:W3CDTF">2021-01-11T10:05:00Z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http://www.zotero.org/styles/cell</vt:lpwstr>
  </property>
  <property fmtid="{D5CDD505-2E9C-101B-9397-08002B2CF9AE}" pid="7" name="Mendeley Recent Style Name 2_1">
    <vt:lpwstr>Cell</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http://www.zotero.org/styles/council-of-science-editors-author-date</vt:lpwstr>
  </property>
  <property fmtid="{D5CDD505-2E9C-101B-9397-08002B2CF9AE}" pid="13" name="Mendeley Recent Style Name 5_1">
    <vt:lpwstr>Council of Science Editors, Name-Year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http://csl.mendeley.com/styles/477699411/vancouver-PLOSbio</vt:lpwstr>
  </property>
  <property fmtid="{D5CDD505-2E9C-101B-9397-08002B2CF9AE}" pid="21" name="Mendeley Recent Style Name 9_1">
    <vt:lpwstr>Vancouver - Offir Lupo</vt:lpwstr>
  </property>
  <property fmtid="{D5CDD505-2E9C-101B-9397-08002B2CF9AE}" pid="22" name="Mendeley Document_1">
    <vt:lpwstr>True</vt:lpwstr>
  </property>
  <property fmtid="{D5CDD505-2E9C-101B-9397-08002B2CF9AE}" pid="23" name="Mendeley Unique User Id_1">
    <vt:lpwstr>76a26d43-50b2-32aa-a1d0-4b381fe00365</vt:lpwstr>
  </property>
  <property fmtid="{D5CDD505-2E9C-101B-9397-08002B2CF9AE}" pid="24" name="Mendeley Citation Style_1">
    <vt:lpwstr>http://www.zotero.org/styles/council-of-science-editors-author-date</vt:lpwstr>
  </property>
</Properties>
</file>