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AE87D" w14:textId="4C9C72F5" w:rsidR="00D10A58" w:rsidRPr="00040A08" w:rsidRDefault="00D10A58" w:rsidP="00040A08">
      <w:pPr>
        <w:rPr>
          <w:rFonts w:ascii="Microsoft Sans Serif" w:hAnsi="Microsoft Sans Serif" w:cs="Microsoft Sans Serif"/>
          <w:sz w:val="20"/>
          <w:szCs w:val="20"/>
        </w:rPr>
      </w:pPr>
    </w:p>
    <w:p w14:paraId="78685179" w14:textId="77777777" w:rsidR="00D10A58" w:rsidRDefault="00D10A58" w:rsidP="00D10A58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2481C74" w14:textId="77777777" w:rsidR="00D10A58" w:rsidRDefault="00D10A58" w:rsidP="00D10A58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8B36DF9" w14:textId="77777777" w:rsidR="00D10A58" w:rsidRDefault="00D10A58" w:rsidP="00D10A58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F84F9A8" w14:textId="77777777" w:rsidR="00D10A58" w:rsidRDefault="00D10A58" w:rsidP="00D10A58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21B895C" w14:textId="77777777" w:rsidR="00D10A58" w:rsidRDefault="00D10A58" w:rsidP="00D10A58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8669EC8" w14:textId="77777777" w:rsidR="00D10A58" w:rsidRDefault="00D10A58" w:rsidP="00D10A58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5869C88" w14:textId="157158C1" w:rsidR="00D10A58" w:rsidRPr="00D46121" w:rsidRDefault="00D10A58" w:rsidP="00D10A58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46121">
        <w:rPr>
          <w:rFonts w:ascii="Arial" w:hAnsi="Arial" w:cs="Arial"/>
          <w:b/>
          <w:bCs/>
          <w:sz w:val="28"/>
          <w:szCs w:val="28"/>
        </w:rPr>
        <w:t xml:space="preserve">SUPPLEMENTARY </w:t>
      </w:r>
      <w:r>
        <w:rPr>
          <w:rFonts w:ascii="Arial" w:hAnsi="Arial" w:cs="Arial"/>
          <w:b/>
          <w:bCs/>
          <w:sz w:val="28"/>
          <w:szCs w:val="28"/>
        </w:rPr>
        <w:t>FIGURES</w:t>
      </w:r>
    </w:p>
    <w:p w14:paraId="382FC454" w14:textId="77777777" w:rsidR="00D10A58" w:rsidRPr="00D46121" w:rsidRDefault="00D10A58" w:rsidP="00D10A58">
      <w:pPr>
        <w:spacing w:line="48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14:paraId="1B8BA9D4" w14:textId="77777777" w:rsidR="00D10A58" w:rsidRPr="00D46121" w:rsidRDefault="00D10A58" w:rsidP="00D10A58">
      <w:pPr>
        <w:spacing w:line="48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  <w:r w:rsidRPr="00D46121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shd w:val="clear" w:color="auto" w:fill="FFFFFF"/>
        </w:rPr>
        <w:t>LI Detector: a framework for sensitive colony-based screens regardless of the distribution of fitness effects</w:t>
      </w:r>
    </w:p>
    <w:p w14:paraId="57FEDF4A" w14:textId="77777777" w:rsidR="00D10A58" w:rsidRPr="00D46121" w:rsidRDefault="00D10A58" w:rsidP="00D10A58">
      <w:pPr>
        <w:spacing w:line="48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14:paraId="67C8F957" w14:textId="06FC77D0" w:rsidR="00D10A58" w:rsidRDefault="00D10A58" w:rsidP="00D10A58">
      <w:pPr>
        <w:spacing w:line="480" w:lineRule="auto"/>
        <w:jc w:val="center"/>
        <w:rPr>
          <w:rFonts w:ascii="Arial" w:eastAsia="Times New Roman" w:hAnsi="Arial" w:cs="Arial"/>
          <w:i/>
          <w:iCs/>
          <w:color w:val="333333"/>
          <w:sz w:val="28"/>
          <w:szCs w:val="28"/>
          <w:shd w:val="clear" w:color="auto" w:fill="FFFFFF"/>
        </w:rPr>
      </w:pPr>
      <w:r w:rsidRPr="00D46121">
        <w:rPr>
          <w:rFonts w:ascii="Arial" w:eastAsia="Times New Roman" w:hAnsi="Arial" w:cs="Arial"/>
          <w:i/>
          <w:iCs/>
          <w:color w:val="333333"/>
          <w:sz w:val="28"/>
          <w:szCs w:val="28"/>
          <w:shd w:val="clear" w:color="auto" w:fill="FFFFFF"/>
        </w:rPr>
        <w:t>Parikh et al.</w:t>
      </w:r>
    </w:p>
    <w:p w14:paraId="0E1B0A8F" w14:textId="241BDB1A" w:rsidR="005C3EA3" w:rsidRPr="00D10A58" w:rsidRDefault="00D10A58" w:rsidP="00D10A58">
      <w:pPr>
        <w:rPr>
          <w:rFonts w:ascii="Arial" w:eastAsia="Times New Roman" w:hAnsi="Arial" w:cs="Arial"/>
          <w:i/>
          <w:iCs/>
          <w:color w:val="333333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i/>
          <w:iCs/>
          <w:color w:val="333333"/>
          <w:sz w:val="28"/>
          <w:szCs w:val="28"/>
          <w:shd w:val="clear" w:color="auto" w:fill="FFFFFF"/>
        </w:rPr>
        <w:br w:type="page"/>
      </w:r>
    </w:p>
    <w:p w14:paraId="22F75D0F" w14:textId="77777777" w:rsidR="002902FD" w:rsidRDefault="002902FD" w:rsidP="00040A08">
      <w:pPr>
        <w:spacing w:line="480" w:lineRule="auto"/>
        <w:rPr>
          <w:rFonts w:ascii="Arial" w:hAnsi="Arial" w:cs="Arial"/>
          <w:sz w:val="20"/>
          <w:szCs w:val="20"/>
        </w:rPr>
      </w:pPr>
    </w:p>
    <w:p w14:paraId="06778037" w14:textId="0214A220" w:rsidR="006449CE" w:rsidRPr="00D46121" w:rsidRDefault="006449CE" w:rsidP="00FE778C">
      <w:pPr>
        <w:rPr>
          <w:rFonts w:ascii="Arial" w:hAnsi="Arial" w:cs="Arial"/>
          <w:sz w:val="20"/>
          <w:szCs w:val="20"/>
        </w:rPr>
      </w:pPr>
    </w:p>
    <w:p w14:paraId="05E96B14" w14:textId="77777777" w:rsidR="005C3EA3" w:rsidRPr="00366AA4" w:rsidRDefault="005C3EA3" w:rsidP="00040A08">
      <w:pPr>
        <w:spacing w:line="276" w:lineRule="auto"/>
        <w:rPr>
          <w:rFonts w:ascii="Arial" w:hAnsi="Arial" w:cs="Arial"/>
          <w:sz w:val="20"/>
          <w:szCs w:val="20"/>
        </w:rPr>
      </w:pPr>
      <w:r w:rsidRPr="00366AA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8D3DAA" wp14:editId="4283570F">
            <wp:extent cx="5943600" cy="3211055"/>
            <wp:effectExtent l="0" t="0" r="0" b="2540"/>
            <wp:docPr id="24" name="Picture 24" descr="A picture containing photo, monitor, oven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photo, monitor, oven, microwav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8347" w14:textId="77777777" w:rsidR="005C3EA3" w:rsidRPr="002246D3" w:rsidRDefault="005C3EA3" w:rsidP="00040A08">
      <w:pPr>
        <w:spacing w:line="276" w:lineRule="auto"/>
        <w:rPr>
          <w:rFonts w:ascii="Arial" w:hAnsi="Arial" w:cs="Arial"/>
          <w:sz w:val="20"/>
          <w:szCs w:val="20"/>
        </w:rPr>
      </w:pPr>
    </w:p>
    <w:p w14:paraId="0F6230A9" w14:textId="6616CFB5" w:rsidR="00040A08" w:rsidRDefault="005C3EA3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>Figure S1. Spatial bias on a 6144-density plate.</w:t>
      </w:r>
      <w:r w:rsidRPr="007862CA">
        <w:rPr>
          <w:rFonts w:ascii="Microsoft Sans Serif" w:hAnsi="Microsoft Sans Serif" w:cs="Microsoft Sans Serif"/>
          <w:sz w:val="20"/>
          <w:szCs w:val="20"/>
        </w:rPr>
        <w:t xml:space="preserve"> The image on the top left is a 6144-density plate having an isogenic population. </w:t>
      </w:r>
      <w:r>
        <w:rPr>
          <w:rFonts w:ascii="Microsoft Sans Serif" w:hAnsi="Microsoft Sans Serif" w:cs="Microsoft Sans Serif"/>
          <w:sz w:val="20"/>
          <w:szCs w:val="20"/>
        </w:rPr>
        <w:t>The t</w:t>
      </w:r>
      <w:r w:rsidRPr="007862CA">
        <w:rPr>
          <w:rFonts w:ascii="Microsoft Sans Serif" w:hAnsi="Microsoft Sans Serif" w:cs="Microsoft Sans Serif"/>
          <w:sz w:val="20"/>
          <w:szCs w:val="20"/>
        </w:rPr>
        <w:t>op right shows a heatmap of the same plate where each tile represents a colony and is colored according to its colony size estimation (pixel counts), going from brown (low) to black (high).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 xml:space="preserve"> </w:t>
      </w:r>
      <w:r w:rsidRPr="007862CA">
        <w:rPr>
          <w:rFonts w:ascii="Microsoft Sans Serif" w:hAnsi="Microsoft Sans Serif" w:cs="Microsoft Sans Serif"/>
          <w:sz w:val="20"/>
          <w:szCs w:val="20"/>
        </w:rPr>
        <w:t>On the bottom is an illustration of the types of spatial biases expected on a high-density plate.</w:t>
      </w:r>
    </w:p>
    <w:p w14:paraId="142B2D32" w14:textId="77777777" w:rsidR="00040A08" w:rsidRDefault="00040A08" w:rsidP="00040A08">
      <w:pPr>
        <w:rPr>
          <w:rFonts w:ascii="Microsoft Sans Serif" w:hAnsi="Microsoft Sans Serif" w:cs="Microsoft Sans Serif"/>
          <w:sz w:val="20"/>
          <w:szCs w:val="20"/>
        </w:rPr>
      </w:pPr>
      <w:r>
        <w:rPr>
          <w:rFonts w:ascii="Microsoft Sans Serif" w:hAnsi="Microsoft Sans Serif" w:cs="Microsoft Sans Serif"/>
          <w:sz w:val="20"/>
          <w:szCs w:val="20"/>
        </w:rPr>
        <w:br w:type="page"/>
      </w:r>
    </w:p>
    <w:p w14:paraId="0E1210AF" w14:textId="77777777" w:rsidR="005C3EA3" w:rsidRDefault="005C3EA3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</w:p>
    <w:p w14:paraId="78534F42" w14:textId="2F149C46" w:rsidR="006449CE" w:rsidRDefault="006449CE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</w:p>
    <w:p w14:paraId="7CA5366C" w14:textId="77777777" w:rsidR="006449CE" w:rsidRPr="00472E71" w:rsidRDefault="006449CE" w:rsidP="00040A08">
      <w:pPr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noProof/>
          <w:color w:val="4472C4" w:themeColor="accent1"/>
        </w:rPr>
        <w:drawing>
          <wp:inline distT="0" distB="0" distL="0" distR="0" wp14:anchorId="43832F78" wp14:editId="1AC0E30A">
            <wp:extent cx="2971800" cy="2971800"/>
            <wp:effectExtent l="0" t="0" r="0" b="0"/>
            <wp:docPr id="10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D72D" w14:textId="15ACA413" w:rsidR="006449CE" w:rsidRDefault="006449CE" w:rsidP="00040A08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  <w:r w:rsidRPr="008225E6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Fig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ure</w:t>
      </w:r>
      <w:r w:rsidRPr="008225E6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S2</w:t>
      </w:r>
      <w:r w:rsidRPr="008225E6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r w:rsidRPr="00D71446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Colony growth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 </w:t>
      </w:r>
      <w:r w:rsidRPr="00D71446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at 6144-density.</w:t>
      </w:r>
      <w:r w:rsidRPr="00D71446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Colony size data from the eleven time points (</w:t>
      </w:r>
      <w:r w:rsidRPr="00D71446">
        <w:rPr>
          <w:rFonts w:ascii="Microsoft Sans Serif" w:hAnsi="Microsoft Sans Serif" w:cs="Microsoft Sans Serif"/>
          <w:sz w:val="20"/>
          <w:szCs w:val="20"/>
        </w:rPr>
        <w:t>1.0, 1.4, 2.9, 4.0, 4.9, 6.1, 6.9, 7.8, 9.0, 10.0, 11.0 hours) was used to construct the growth curve.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Each point on the plot is the log10 of the mean pixel count per time point. Lines connect consecutive data points.</w:t>
      </w:r>
    </w:p>
    <w:p w14:paraId="1AC399CE" w14:textId="5CF0444F" w:rsidR="006449CE" w:rsidRDefault="006449CE" w:rsidP="00040A08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</w:p>
    <w:p w14:paraId="348B8E60" w14:textId="77777777" w:rsidR="006449CE" w:rsidRPr="00366AA4" w:rsidRDefault="006449CE" w:rsidP="00040A08">
      <w:pPr>
        <w:spacing w:line="480" w:lineRule="auto"/>
        <w:rPr>
          <w:rFonts w:ascii="Arial" w:hAnsi="Arial" w:cs="Arial"/>
          <w:sz w:val="20"/>
          <w:szCs w:val="20"/>
        </w:rPr>
      </w:pPr>
      <w:r w:rsidRPr="00366AA4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75B2AD0" wp14:editId="3F863EDC">
            <wp:extent cx="5943600" cy="5943600"/>
            <wp:effectExtent l="0" t="0" r="0" b="0"/>
            <wp:docPr id="20" name="Picture 2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alenda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BEA2" w14:textId="4581D09F" w:rsidR="006449CE" w:rsidRPr="007862CA" w:rsidRDefault="006449CE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>Figure S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>3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 xml:space="preserve">. Visual representation of the plate maps. </w:t>
      </w:r>
      <w:r w:rsidRPr="007862CA">
        <w:rPr>
          <w:rFonts w:ascii="Microsoft Sans Serif" w:hAnsi="Microsoft Sans Serif" w:cs="Microsoft Sans Serif"/>
          <w:sz w:val="20"/>
          <w:szCs w:val="20"/>
        </w:rPr>
        <w:t>Spatial layout of colonies across the plates of the experiment. Each row represents a different stage/density of the validation experiment. These maps are made using information like plate number, column number, row number, strain identifier number, mutant name</w:t>
      </w:r>
      <w:r>
        <w:rPr>
          <w:rFonts w:ascii="Microsoft Sans Serif" w:hAnsi="Microsoft Sans Serif" w:cs="Microsoft Sans Serif"/>
          <w:sz w:val="20"/>
          <w:szCs w:val="20"/>
        </w:rPr>
        <w:t>,</w:t>
      </w:r>
      <w:r w:rsidRPr="007862CA">
        <w:rPr>
          <w:rFonts w:ascii="Microsoft Sans Serif" w:hAnsi="Microsoft Sans Serif" w:cs="Microsoft Sans Serif"/>
          <w:sz w:val="20"/>
          <w:szCs w:val="20"/>
        </w:rPr>
        <w:t xml:space="preserve"> and unique </w:t>
      </w:r>
      <w:r>
        <w:rPr>
          <w:rFonts w:ascii="Microsoft Sans Serif" w:hAnsi="Microsoft Sans Serif" w:cs="Microsoft Sans Serif"/>
          <w:sz w:val="20"/>
          <w:szCs w:val="20"/>
        </w:rPr>
        <w:t>numeric</w:t>
      </w:r>
      <w:r w:rsidRPr="007862CA">
        <w:rPr>
          <w:rFonts w:ascii="Microsoft Sans Serif" w:hAnsi="Microsoft Sans Serif" w:cs="Microsoft Sans Serif"/>
          <w:sz w:val="20"/>
          <w:szCs w:val="20"/>
        </w:rPr>
        <w:t xml:space="preserve"> identifier for the position on the plate stored as the pos2coor and pos2orf_name tables. For simplicity, the mock mutants are given a binary color classification of either reference or mutant.</w:t>
      </w:r>
    </w:p>
    <w:p w14:paraId="087967B0" w14:textId="77777777" w:rsidR="006449CE" w:rsidRPr="00A3658B" w:rsidRDefault="006449CE" w:rsidP="00040A08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</w:p>
    <w:p w14:paraId="6BBCC29F" w14:textId="77777777" w:rsidR="006449CE" w:rsidRDefault="006449CE" w:rsidP="00040A08"/>
    <w:p w14:paraId="44BC08AA" w14:textId="77777777" w:rsidR="006449CE" w:rsidRPr="007862CA" w:rsidRDefault="006449CE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</w:p>
    <w:p w14:paraId="44F16C28" w14:textId="77777777" w:rsidR="005C3EA3" w:rsidRPr="00366AA4" w:rsidRDefault="005C3EA3" w:rsidP="00040A08">
      <w:pPr>
        <w:spacing w:line="276" w:lineRule="auto"/>
        <w:rPr>
          <w:rFonts w:ascii="Arial" w:hAnsi="Arial" w:cs="Arial"/>
          <w:sz w:val="20"/>
          <w:szCs w:val="20"/>
        </w:rPr>
      </w:pPr>
      <w:r w:rsidRPr="00366AA4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3AFAC0C" wp14:editId="45681AC8">
            <wp:extent cx="5919758" cy="5956300"/>
            <wp:effectExtent l="0" t="0" r="0" b="0"/>
            <wp:docPr id="19" name="Picture 19" descr="A picture containing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S1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9758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0D2C" w14:textId="77777777" w:rsidR="005C3EA3" w:rsidRPr="00D46121" w:rsidRDefault="005C3EA3" w:rsidP="00040A08">
      <w:pPr>
        <w:spacing w:line="276" w:lineRule="auto"/>
        <w:rPr>
          <w:rFonts w:ascii="Arial" w:hAnsi="Arial" w:cs="Arial"/>
          <w:sz w:val="20"/>
          <w:szCs w:val="20"/>
        </w:rPr>
      </w:pPr>
    </w:p>
    <w:p w14:paraId="2E395E9A" w14:textId="58EC9F6D" w:rsidR="005C3EA3" w:rsidRDefault="005C3EA3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>Figure S</w:t>
      </w:r>
      <w:r w:rsidR="006449CE">
        <w:rPr>
          <w:rFonts w:ascii="Microsoft Sans Serif" w:hAnsi="Microsoft Sans Serif" w:cs="Microsoft Sans Serif"/>
          <w:b/>
          <w:bCs/>
          <w:sz w:val="20"/>
          <w:szCs w:val="20"/>
        </w:rPr>
        <w:t>4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 xml:space="preserve">. Source normalization step of the LI Detector. </w:t>
      </w:r>
      <w:r w:rsidRPr="007862CA">
        <w:rPr>
          <w:rFonts w:ascii="Microsoft Sans Serif" w:hAnsi="Microsoft Sans Serif" w:cs="Microsoft Sans Serif"/>
          <w:sz w:val="20"/>
          <w:szCs w:val="20"/>
        </w:rPr>
        <w:t>The target plate on the right represents a high-density plate made by experimentally condensing four lower density sources on the top left. A different color represents each source, and tiles represent colonies. This step introduces a systematic source-based bias in colony sizes that needs to be corrected. LI Detector implements a source normalization (SN) step, where it computationally downscales the colony size estimations of the higher density plate into its four-corresponding source-deconstructs shown on the bottom left. These source-deconstructs are individually normalized during the downstream analysis.</w:t>
      </w:r>
    </w:p>
    <w:p w14:paraId="08ACEC72" w14:textId="6CF78EB4" w:rsidR="006449CE" w:rsidRDefault="006449CE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</w:p>
    <w:p w14:paraId="702A7F8E" w14:textId="296C67A5" w:rsidR="006449CE" w:rsidRDefault="006449CE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</w:p>
    <w:p w14:paraId="3ED0DE90" w14:textId="6DF707F0" w:rsidR="006449CE" w:rsidRDefault="006449CE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</w:p>
    <w:p w14:paraId="38F862EC" w14:textId="2BF7BE65" w:rsidR="006449CE" w:rsidRDefault="006449CE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</w:p>
    <w:p w14:paraId="2197F791" w14:textId="5E012E3F" w:rsidR="006449CE" w:rsidRDefault="006449CE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</w:p>
    <w:p w14:paraId="41ECC80F" w14:textId="77777777" w:rsidR="006449CE" w:rsidRDefault="006449CE" w:rsidP="00040A08">
      <w:pPr>
        <w:rPr>
          <w:rFonts w:ascii="Arial" w:hAnsi="Arial" w:cs="Arial"/>
          <w:i/>
          <w:iCs/>
          <w:color w:val="2F5496" w:themeColor="accent1" w:themeShade="BF"/>
        </w:rPr>
      </w:pPr>
      <w:r>
        <w:rPr>
          <w:rFonts w:ascii="Arial" w:hAnsi="Arial" w:cs="Arial"/>
          <w:i/>
          <w:iCs/>
          <w:noProof/>
          <w:color w:val="4472C4" w:themeColor="accent1"/>
        </w:rPr>
        <w:lastRenderedPageBreak/>
        <w:drawing>
          <wp:inline distT="0" distB="0" distL="0" distR="0" wp14:anchorId="79F1AD7F" wp14:editId="4799E1A3">
            <wp:extent cx="2971800" cy="2971800"/>
            <wp:effectExtent l="0" t="0" r="0" b="0"/>
            <wp:docPr id="12" name="Picture 1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ox and whisker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CF3A" w14:textId="6CB67621" w:rsidR="008D781A" w:rsidRDefault="006449CE" w:rsidP="00040A08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  <w:r w:rsidRPr="008422A3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Fig</w:t>
      </w:r>
      <w:r w:rsidRPr="007152FB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ure S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5</w:t>
      </w:r>
      <w:r w:rsidRPr="007152FB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.</w:t>
      </w:r>
      <w:r w:rsidRPr="006E67CE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</w:t>
      </w:r>
      <w:r w:rsidRPr="008422A3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Copy step in the pinning protocol </w:t>
      </w:r>
      <w:r w:rsidRPr="007152FB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reduces source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-based bias</w:t>
      </w:r>
      <w:r w:rsidRPr="007152FB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.</w:t>
      </w:r>
      <w:r w:rsidRPr="007152FB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Each panel consists of a box plot of source deconstructed plates. The panel on the left is of the 1536-density Upscale Plates (#1) that are made from four 384-density Transition Plates (#1). The panel on the right is the 1536-density Transition Plates (#2) that were made by copying the Upscale Plates (#2). The median subtracted colony sizes are shown on the x-axis. The left panel demonstrates the source-plate effect as seen by the differences in the median value (solid horizontal blac</w:t>
      </w:r>
      <w:r w:rsidRPr="00E57140">
        <w:rPr>
          <w:rFonts w:ascii="Microsoft Sans Serif" w:hAnsi="Microsoft Sans Serif" w:cs="Microsoft Sans Serif"/>
          <w:color w:val="000000" w:themeColor="text1"/>
          <w:sz w:val="20"/>
          <w:szCs w:val="20"/>
        </w:rPr>
        <w:t>k line) for each sourc</w:t>
      </w:r>
      <w:r w:rsidRPr="00B5056E">
        <w:rPr>
          <w:rFonts w:ascii="Microsoft Sans Serif" w:hAnsi="Microsoft Sans Serif" w:cs="Microsoft Sans Serif"/>
          <w:color w:val="000000" w:themeColor="text1"/>
          <w:sz w:val="20"/>
          <w:szCs w:val="20"/>
        </w:rPr>
        <w:t>e deconstructs. This effect is reduced for the panel on the right.</w:t>
      </w:r>
    </w:p>
    <w:p w14:paraId="2EDEB272" w14:textId="77777777" w:rsidR="008D781A" w:rsidRDefault="008D781A" w:rsidP="00040A08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br w:type="page"/>
      </w:r>
    </w:p>
    <w:p w14:paraId="30708CF7" w14:textId="77777777" w:rsidR="008D781A" w:rsidRPr="00366AA4" w:rsidRDefault="008D781A" w:rsidP="00040A08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366AA4"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76C507D6" wp14:editId="7FCAA09D">
            <wp:extent cx="5943596" cy="3756175"/>
            <wp:effectExtent l="0" t="0" r="635" b="3175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596" cy="37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B97E" w14:textId="0E5C1E42" w:rsidR="008D781A" w:rsidRDefault="008D781A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>Figure S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>6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 xml:space="preserve">. 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>Using the condition negative dataset to estimate a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>ccuracy of background colony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 xml:space="preserve"> 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 xml:space="preserve">sizes and source normalization. 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>A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 xml:space="preserve">. </w:t>
      </w:r>
      <w:r w:rsidRPr="007862CA">
        <w:rPr>
          <w:rFonts w:ascii="Microsoft Sans Serif" w:hAnsi="Microsoft Sans Serif" w:cs="Microsoft Sans Serif"/>
          <w:sz w:val="20"/>
          <w:szCs w:val="20"/>
        </w:rPr>
        <w:t xml:space="preserve">Coefficient of variance percentage (CV%) as a measure of spatial bias. The box plots show the CV% results for the raw colony size data (NO-NORM) and fitness estimated using a random colony size predictor (RND), </w:t>
      </w:r>
      <w:proofErr w:type="spellStart"/>
      <w:r w:rsidRPr="007862CA">
        <w:rPr>
          <w:rFonts w:ascii="Microsoft Sans Serif" w:hAnsi="Microsoft Sans Serif" w:cs="Microsoft Sans Serif"/>
          <w:sz w:val="20"/>
          <w:szCs w:val="20"/>
        </w:rPr>
        <w:t>Matlab</w:t>
      </w:r>
      <w:proofErr w:type="spellEnd"/>
      <w:r w:rsidRPr="007862CA">
        <w:rPr>
          <w:rFonts w:ascii="Microsoft Sans Serif" w:hAnsi="Microsoft Sans Serif" w:cs="Microsoft Sans Serif"/>
          <w:sz w:val="20"/>
          <w:szCs w:val="20"/>
        </w:rPr>
        <w:t xml:space="preserve"> Colony Analyzer Toolkit (MCAT)</w:t>
      </w:r>
      <w:r w:rsidR="00040A08">
        <w:rPr>
          <w:rFonts w:ascii="Microsoft Sans Serif" w:hAnsi="Microsoft Sans Serif" w:cs="Microsoft Sans Serif"/>
          <w:sz w:val="20"/>
          <w:szCs w:val="20"/>
        </w:rPr>
        <w:t xml:space="preserve"> </w:t>
      </w:r>
      <w:r w:rsidRPr="007862CA">
        <w:rPr>
          <w:rFonts w:ascii="Microsoft Sans Serif" w:hAnsi="Microsoft Sans Serif" w:cs="Microsoft Sans Serif"/>
          <w:sz w:val="20"/>
          <w:szCs w:val="20"/>
        </w:rPr>
        <w:fldChar w:fldCharType="begin">
          <w:fldData xml:space="preserve">PEVuZE5vdGU+PENpdGU+PEF1dGhvcj5CZWFuPC9BdXRob3I+PFllYXI+MjAxNDwvWWVhcj48UmVj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</w:fldData>
        </w:fldChar>
      </w:r>
      <w:r>
        <w:rPr>
          <w:rFonts w:ascii="Microsoft Sans Serif" w:hAnsi="Microsoft Sans Serif" w:cs="Microsoft Sans Serif"/>
          <w:sz w:val="20"/>
          <w:szCs w:val="20"/>
        </w:rPr>
        <w:instrText xml:space="preserve"> ADDIN EN.CITE </w:instrText>
      </w:r>
      <w:r>
        <w:rPr>
          <w:rFonts w:ascii="Microsoft Sans Serif" w:hAnsi="Microsoft Sans Serif" w:cs="Microsoft Sans Serif"/>
          <w:sz w:val="20"/>
          <w:szCs w:val="20"/>
        </w:rPr>
        <w:fldChar w:fldCharType="begin">
          <w:fldData xml:space="preserve">PEVuZE5vdGU+PENpdGU+PEF1dGhvcj5CZWFuPC9BdXRob3I+PFllYXI+MjAxNDwvWWVhcj48UmVj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</w:fldData>
        </w:fldChar>
      </w:r>
      <w:r>
        <w:rPr>
          <w:rFonts w:ascii="Microsoft Sans Serif" w:hAnsi="Microsoft Sans Serif" w:cs="Microsoft Sans Serif"/>
          <w:sz w:val="20"/>
          <w:szCs w:val="20"/>
        </w:rPr>
        <w:instrText xml:space="preserve"> ADDIN EN.CITE.DATA </w:instrText>
      </w:r>
      <w:r>
        <w:rPr>
          <w:rFonts w:ascii="Microsoft Sans Serif" w:hAnsi="Microsoft Sans Serif" w:cs="Microsoft Sans Serif"/>
          <w:sz w:val="20"/>
          <w:szCs w:val="20"/>
        </w:rPr>
      </w:r>
      <w:r>
        <w:rPr>
          <w:rFonts w:ascii="Microsoft Sans Serif" w:hAnsi="Microsoft Sans Serif" w:cs="Microsoft Sans Serif"/>
          <w:sz w:val="20"/>
          <w:szCs w:val="20"/>
        </w:rPr>
        <w:fldChar w:fldCharType="end"/>
      </w:r>
      <w:r w:rsidRPr="007862CA">
        <w:rPr>
          <w:rFonts w:ascii="Microsoft Sans Serif" w:hAnsi="Microsoft Sans Serif" w:cs="Microsoft Sans Serif"/>
          <w:sz w:val="20"/>
          <w:szCs w:val="20"/>
        </w:rPr>
      </w:r>
      <w:r w:rsidRPr="007862CA">
        <w:rPr>
          <w:rFonts w:ascii="Microsoft Sans Serif" w:hAnsi="Microsoft Sans Serif" w:cs="Microsoft Sans Serif"/>
          <w:sz w:val="20"/>
          <w:szCs w:val="20"/>
        </w:rPr>
        <w:fldChar w:fldCharType="separate"/>
      </w:r>
      <w:r>
        <w:rPr>
          <w:rFonts w:ascii="Microsoft Sans Serif" w:hAnsi="Microsoft Sans Serif" w:cs="Microsoft Sans Serif"/>
          <w:noProof/>
          <w:sz w:val="20"/>
          <w:szCs w:val="20"/>
        </w:rPr>
        <w:t>(Bean et al. 2014)</w:t>
      </w:r>
      <w:r w:rsidRPr="007862CA">
        <w:rPr>
          <w:rFonts w:ascii="Microsoft Sans Serif" w:hAnsi="Microsoft Sans Serif" w:cs="Microsoft Sans Serif"/>
          <w:sz w:val="20"/>
          <w:szCs w:val="20"/>
        </w:rPr>
        <w:fldChar w:fldCharType="end"/>
      </w:r>
      <w:r w:rsidRPr="007862CA">
        <w:rPr>
          <w:rFonts w:ascii="Microsoft Sans Serif" w:hAnsi="Microsoft Sans Serif" w:cs="Microsoft Sans Serif"/>
          <w:sz w:val="20"/>
          <w:szCs w:val="20"/>
        </w:rPr>
        <w:t xml:space="preserve">, LI Detector without source normalization (LID-SN), LI Detector without local artifact correction (LID-AC) and LI Detector (LID). Wilcoxon </w:t>
      </w:r>
      <w:proofErr w:type="spellStart"/>
      <w:r w:rsidRPr="007862CA">
        <w:rPr>
          <w:rFonts w:ascii="Microsoft Sans Serif" w:hAnsi="Microsoft Sans Serif" w:cs="Microsoft Sans Serif"/>
          <w:sz w:val="20"/>
          <w:szCs w:val="20"/>
        </w:rPr>
        <w:t>ranksum</w:t>
      </w:r>
      <w:proofErr w:type="spellEnd"/>
      <w:r w:rsidRPr="007862CA">
        <w:rPr>
          <w:rFonts w:ascii="Microsoft Sans Serif" w:hAnsi="Microsoft Sans Serif" w:cs="Microsoft Sans Serif"/>
          <w:sz w:val="20"/>
          <w:szCs w:val="20"/>
        </w:rPr>
        <w:t xml:space="preserve"> test </w:t>
      </w:r>
      <w:r w:rsidR="003D1556">
        <w:rPr>
          <w:rFonts w:ascii="Microsoft Sans Serif" w:hAnsi="Microsoft Sans Serif" w:cs="Microsoft Sans Serif"/>
          <w:sz w:val="20"/>
          <w:szCs w:val="20"/>
        </w:rPr>
        <w:fldChar w:fldCharType="begin"/>
      </w:r>
      <w:r w:rsidR="003D1556">
        <w:rPr>
          <w:rFonts w:ascii="Microsoft Sans Serif" w:hAnsi="Microsoft Sans Serif" w:cs="Microsoft Sans Serif"/>
          <w:sz w:val="20"/>
          <w:szCs w:val="20"/>
        </w:rPr>
        <w:instrText xml:space="preserve"> ADDIN EN.CITE &lt;EndNote&gt;&lt;Cite&gt;&lt;Author&gt;Wilcoxon&lt;/Author&gt;&lt;Year&gt;1946&lt;/Year&gt;&lt;RecNum&gt;1223&lt;/RecNum&gt;&lt;DisplayText&gt;(Mann and Whitney 1947; Wilcoxon 1946)&lt;/DisplayText&gt;&lt;record&gt;&lt;rec-number&gt;1223&lt;/rec-number&gt;&lt;foreign-keys&gt;&lt;key app="EN" db-id="x2xav2dzzvp5ddez223vpv22tw9d5dx2dxxv" timestamp="1607095789"&gt;1223&lt;/key&gt;&lt;/foreign-keys&gt;&lt;ref-type name="Journal Article"&gt;17&lt;/ref-type&gt;&lt;contributors&gt;&lt;authors&gt;&lt;author&gt;Wilcoxon, F.&lt;/author&gt;&lt;/authors&gt;&lt;/contributors&gt;&lt;titles&gt;&lt;title&gt;Individual comparisons of grouped data by ranking methods&lt;/title&gt;&lt;secondary-title&gt;J Econ Entomol&lt;/secondary-title&gt;&lt;/titles&gt;&lt;periodical&gt;&lt;full-title&gt;J Econ Entomol&lt;/full-title&gt;&lt;/periodical&gt;&lt;pages&gt;269&lt;/pages&gt;&lt;volume&gt;39&lt;/volume&gt;&lt;edition&gt;1946/04/01&lt;/edition&gt;&lt;keywords&gt;&lt;keyword&gt;Animals&lt;/keyword&gt;&lt;keyword&gt;*Biometry&lt;/keyword&gt;&lt;keyword&gt;*Statistics as Topic&lt;/keyword&gt;&lt;keyword&gt;*statistics&lt;/keyword&gt;&lt;/keywords&gt;&lt;dates&gt;&lt;year&gt;1946&lt;/year&gt;&lt;pub-dates&gt;&lt;date&gt;Apr&lt;/date&gt;&lt;/pub-dates&gt;&lt;/dates&gt;&lt;isbn&gt;0022-0493 (Print)&amp;#xD;0022-0493 (Linking)&lt;/isbn&gt;&lt;accession-num&gt;20983181&lt;/accession-num&gt;&lt;urls&gt;&lt;related-urls&gt;&lt;url&gt;https://www.ncbi.nlm.nih.gov/pubmed/20983181&lt;/url&gt;&lt;/related-urls&gt;&lt;/urls&gt;&lt;electronic-resource-num&gt;10.1093/jee/39.2.269&lt;/electronic-resource-num&gt;&lt;/record&gt;&lt;/Cite&gt;&lt;Cite&gt;&lt;Author&gt;Mann&lt;/Author&gt;&lt;Year&gt;1947&lt;/Year&gt;&lt;RecNum&gt;1227&lt;/RecNum&gt;&lt;record&gt;&lt;rec-number&gt;1227&lt;/rec-number&gt;&lt;foreign-keys&gt;&lt;key app="EN" db-id="x2xav2dzzvp5ddez223vpv22tw9d5dx2dxxv" timestamp="1607096145"&gt;1227&lt;/key&gt;&lt;/foreign-keys&gt;&lt;ref-type name="Journal Article"&gt;17&lt;/ref-type&gt;&lt;contributors&gt;&lt;authors&gt;&lt;author&gt;Mann, H. B.&lt;/author&gt;&lt;author&gt;Whitney, D. R.&lt;/author&gt;&lt;/authors&gt;&lt;/contributors&gt;&lt;titles&gt;&lt;title&gt;On a test of whether one of two random variables is stochastically larger than the other&lt;/title&gt;&lt;secondary-title&gt;The Annals of Mathematical Statistics&lt;/secondary-title&gt;&lt;/titles&gt;&lt;periodical&gt;&lt;full-title&gt;The Annals of Mathematical Statistics&lt;/full-title&gt;&lt;/periodical&gt;&lt;pages&gt;50-60&lt;/pages&gt;&lt;volume&gt;18&lt;/volume&gt;&lt;number&gt;1&lt;/number&gt;&lt;dates&gt;&lt;year&gt;1947&lt;/year&gt;&lt;/dates&gt;&lt;urls&gt;&lt;/urls&gt;&lt;/record&gt;&lt;/Cite&gt;&lt;/EndNote&gt;</w:instrText>
      </w:r>
      <w:r w:rsidR="003D1556">
        <w:rPr>
          <w:rFonts w:ascii="Microsoft Sans Serif" w:hAnsi="Microsoft Sans Serif" w:cs="Microsoft Sans Serif"/>
          <w:sz w:val="20"/>
          <w:szCs w:val="20"/>
        </w:rPr>
        <w:fldChar w:fldCharType="separate"/>
      </w:r>
      <w:r w:rsidR="003D1556">
        <w:rPr>
          <w:rFonts w:ascii="Microsoft Sans Serif" w:hAnsi="Microsoft Sans Serif" w:cs="Microsoft Sans Serif"/>
          <w:noProof/>
          <w:sz w:val="20"/>
          <w:szCs w:val="20"/>
        </w:rPr>
        <w:t>(Mann and Whitney 1947; Wilcoxon 1946)</w:t>
      </w:r>
      <w:r w:rsidR="003D1556">
        <w:rPr>
          <w:rFonts w:ascii="Microsoft Sans Serif" w:hAnsi="Microsoft Sans Serif" w:cs="Microsoft Sans Serif"/>
          <w:sz w:val="20"/>
          <w:szCs w:val="20"/>
        </w:rPr>
        <w:fldChar w:fldCharType="end"/>
      </w:r>
      <w:r w:rsidR="003D1556">
        <w:rPr>
          <w:rFonts w:ascii="Microsoft Sans Serif" w:hAnsi="Microsoft Sans Serif" w:cs="Microsoft Sans Serif"/>
          <w:sz w:val="20"/>
          <w:szCs w:val="20"/>
        </w:rPr>
        <w:t xml:space="preserve"> </w:t>
      </w:r>
      <w:r w:rsidRPr="007862CA">
        <w:rPr>
          <w:rFonts w:ascii="Microsoft Sans Serif" w:hAnsi="Microsoft Sans Serif" w:cs="Microsoft Sans Serif"/>
          <w:sz w:val="20"/>
          <w:szCs w:val="20"/>
        </w:rPr>
        <w:t xml:space="preserve">was used to compare results between NO-NORM and the rest. 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B</w:t>
      </w:r>
      <w:r w:rsidRPr="007862CA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.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Root mean square error (RMSE) of the background colony sizes compared to the observed colony size as a percentage of mean observed colony size per time point. Colors represent different </w:t>
      </w:r>
      <w:r w:rsidRPr="00027725">
        <w:rPr>
          <w:rFonts w:ascii="Microsoft Sans Serif" w:hAnsi="Microsoft Sans Serif" w:cs="Microsoft Sans Serif"/>
          <w:sz w:val="20"/>
          <w:szCs w:val="20"/>
        </w:rPr>
        <w:t>strategies for fitness estimation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. 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>C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 xml:space="preserve">. </w:t>
      </w:r>
      <w:r w:rsidRPr="007862CA">
        <w:rPr>
          <w:rFonts w:ascii="Microsoft Sans Serif" w:hAnsi="Microsoft Sans Serif" w:cs="Microsoft Sans Serif"/>
          <w:sz w:val="20"/>
          <w:szCs w:val="20"/>
        </w:rPr>
        <w:t>Source-plate-wise violin plot of raw colony sizes and LID, LID-SN, LID-AC, and MCAT</w:t>
      </w:r>
      <w:r w:rsidR="00040A08">
        <w:rPr>
          <w:rFonts w:ascii="Microsoft Sans Serif" w:hAnsi="Microsoft Sans Serif" w:cs="Microsoft Sans Serif"/>
          <w:sz w:val="20"/>
          <w:szCs w:val="20"/>
        </w:rPr>
        <w:t xml:space="preserve"> </w:t>
      </w:r>
      <w:r w:rsidRPr="007862CA">
        <w:rPr>
          <w:rFonts w:ascii="Microsoft Sans Serif" w:hAnsi="Microsoft Sans Serif" w:cs="Microsoft Sans Serif"/>
          <w:sz w:val="20"/>
          <w:szCs w:val="20"/>
        </w:rPr>
        <w:fldChar w:fldCharType="begin">
          <w:fldData xml:space="preserve">PEVuZE5vdGU+PENpdGU+PEF1dGhvcj5CZWFuPC9BdXRob3I+PFllYXI+MjAxNDwvWWVhcj48UmVj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</w:fldData>
        </w:fldChar>
      </w:r>
      <w:r>
        <w:rPr>
          <w:rFonts w:ascii="Microsoft Sans Serif" w:hAnsi="Microsoft Sans Serif" w:cs="Microsoft Sans Serif"/>
          <w:sz w:val="20"/>
          <w:szCs w:val="20"/>
        </w:rPr>
        <w:instrText xml:space="preserve"> ADDIN EN.CITE </w:instrText>
      </w:r>
      <w:r>
        <w:rPr>
          <w:rFonts w:ascii="Microsoft Sans Serif" w:hAnsi="Microsoft Sans Serif" w:cs="Microsoft Sans Serif"/>
          <w:sz w:val="20"/>
          <w:szCs w:val="20"/>
        </w:rPr>
        <w:fldChar w:fldCharType="begin">
          <w:fldData xml:space="preserve">PEVuZE5vdGU+PENpdGU+PEF1dGhvcj5CZWFuPC9BdXRob3I+PFllYXI+MjAxNDwvWWVhcj48UmVj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</w:fldData>
        </w:fldChar>
      </w:r>
      <w:r>
        <w:rPr>
          <w:rFonts w:ascii="Microsoft Sans Serif" w:hAnsi="Microsoft Sans Serif" w:cs="Microsoft Sans Serif"/>
          <w:sz w:val="20"/>
          <w:szCs w:val="20"/>
        </w:rPr>
        <w:instrText xml:space="preserve"> ADDIN EN.CITE.DATA </w:instrText>
      </w:r>
      <w:r>
        <w:rPr>
          <w:rFonts w:ascii="Microsoft Sans Serif" w:hAnsi="Microsoft Sans Serif" w:cs="Microsoft Sans Serif"/>
          <w:sz w:val="20"/>
          <w:szCs w:val="20"/>
        </w:rPr>
      </w:r>
      <w:r>
        <w:rPr>
          <w:rFonts w:ascii="Microsoft Sans Serif" w:hAnsi="Microsoft Sans Serif" w:cs="Microsoft Sans Serif"/>
          <w:sz w:val="20"/>
          <w:szCs w:val="20"/>
        </w:rPr>
        <w:fldChar w:fldCharType="end"/>
      </w:r>
      <w:r w:rsidRPr="007862CA">
        <w:rPr>
          <w:rFonts w:ascii="Microsoft Sans Serif" w:hAnsi="Microsoft Sans Serif" w:cs="Microsoft Sans Serif"/>
          <w:sz w:val="20"/>
          <w:szCs w:val="20"/>
        </w:rPr>
      </w:r>
      <w:r w:rsidRPr="007862CA">
        <w:rPr>
          <w:rFonts w:ascii="Microsoft Sans Serif" w:hAnsi="Microsoft Sans Serif" w:cs="Microsoft Sans Serif"/>
          <w:sz w:val="20"/>
          <w:szCs w:val="20"/>
        </w:rPr>
        <w:fldChar w:fldCharType="separate"/>
      </w:r>
      <w:r>
        <w:rPr>
          <w:rFonts w:ascii="Microsoft Sans Serif" w:hAnsi="Microsoft Sans Serif" w:cs="Microsoft Sans Serif"/>
          <w:noProof/>
          <w:sz w:val="20"/>
          <w:szCs w:val="20"/>
        </w:rPr>
        <w:t>(Bean et al. 2014)</w:t>
      </w:r>
      <w:r w:rsidRPr="007862CA">
        <w:rPr>
          <w:rFonts w:ascii="Microsoft Sans Serif" w:hAnsi="Microsoft Sans Serif" w:cs="Microsoft Sans Serif"/>
          <w:sz w:val="20"/>
          <w:szCs w:val="20"/>
        </w:rPr>
        <w:fldChar w:fldCharType="end"/>
      </w:r>
      <w:r w:rsidRPr="007862CA">
        <w:rPr>
          <w:rFonts w:ascii="Microsoft Sans Serif" w:hAnsi="Microsoft Sans Serif" w:cs="Microsoft Sans Serif"/>
          <w:sz w:val="20"/>
          <w:szCs w:val="20"/>
        </w:rPr>
        <w:t xml:space="preserve"> normalized fitness at saturation (time = 11.0 hours). Solid black vertical lines indicate lower, middle, and upper quartile. The source-wise distributions are compared using a non-parametric (Kruskal-Wallis)</w:t>
      </w:r>
      <w:r w:rsidR="00040A08">
        <w:rPr>
          <w:rFonts w:ascii="Microsoft Sans Serif" w:hAnsi="Microsoft Sans Serif" w:cs="Microsoft Sans Serif"/>
          <w:sz w:val="20"/>
          <w:szCs w:val="20"/>
        </w:rPr>
        <w:t xml:space="preserve"> </w:t>
      </w:r>
      <w:r w:rsidR="00040A08">
        <w:rPr>
          <w:rFonts w:ascii="Microsoft Sans Serif" w:hAnsi="Microsoft Sans Serif" w:cs="Microsoft Sans Serif"/>
          <w:sz w:val="20"/>
          <w:szCs w:val="20"/>
        </w:rPr>
        <w:fldChar w:fldCharType="begin"/>
      </w:r>
      <w:r w:rsidR="00040A08">
        <w:rPr>
          <w:rFonts w:ascii="Microsoft Sans Serif" w:hAnsi="Microsoft Sans Serif" w:cs="Microsoft Sans Serif"/>
          <w:sz w:val="20"/>
          <w:szCs w:val="20"/>
        </w:rPr>
        <w:instrText xml:space="preserve"> ADDIN EN.CITE &lt;EndNote&gt;&lt;Cite&gt;&lt;Author&gt;Kruskal&lt;/Author&gt;&lt;Year&gt;1952&lt;/Year&gt;&lt;RecNum&gt;1321&lt;/RecNum&gt;&lt;DisplayText&gt;(Kruskal and Wallis 1952)&lt;/DisplayText&gt;&lt;record&gt;&lt;rec-number&gt;1321&lt;/rec-number&gt;&lt;foreign-keys&gt;&lt;key app="EN" db-id="x2xav2dzzvp5ddez223vpv22tw9d5dx2dxxv" timestamp="1607604437"&gt;1321&lt;/key&gt;&lt;/foreign-keys&gt;&lt;ref-type name="Journal Article"&gt;17&lt;/ref-type&gt;&lt;contributors&gt;&lt;authors&gt;&lt;author&gt;Kruskal, William H.&lt;/author&gt;&lt;author&gt;Wallis, W. Allen&lt;/author&gt;&lt;/authors&gt;&lt;/contributors&gt;&lt;titles&gt;&lt;title&gt;Use of Ranks in One-Criterion Variance Analysis&lt;/title&gt;&lt;secondary-title&gt;Journal of the American Statistical Association&lt;/secondary-title&gt;&lt;/titles&gt;&lt;periodical&gt;&lt;full-title&gt;Journal of the American Statistical Association&lt;/full-title&gt;&lt;/periodical&gt;&lt;pages&gt;583-621&lt;/pages&gt;&lt;volume&gt;47&lt;/volume&gt;&lt;number&gt;260&lt;/number&gt;&lt;dates&gt;&lt;year&gt;1952&lt;/year&gt;&lt;/dates&gt;&lt;publisher&gt;[American Statistical Association, Taylor &amp;amp; Francis, Ltd.]&lt;/publisher&gt;&lt;isbn&gt;01621459&lt;/isbn&gt;&lt;urls&gt;&lt;related-urls&gt;&lt;url&gt;http://www.jstor.org/stable/2280779&lt;/url&gt;&lt;/related-urls&gt;&lt;/urls&gt;&lt;custom1&gt;Full publication date: Dec., 1952&lt;/custom1&gt;&lt;electronic-resource-num&gt;10.2307/2280779&lt;/electronic-resource-num&gt;&lt;remote-database-name&gt;JSTOR&lt;/remote-database-name&gt;&lt;access-date&gt;2020/12/10/&lt;/access-date&gt;&lt;/record&gt;&lt;/Cite&gt;&lt;/EndNote&gt;</w:instrText>
      </w:r>
      <w:r w:rsidR="00040A08">
        <w:rPr>
          <w:rFonts w:ascii="Microsoft Sans Serif" w:hAnsi="Microsoft Sans Serif" w:cs="Microsoft Sans Serif"/>
          <w:sz w:val="20"/>
          <w:szCs w:val="20"/>
        </w:rPr>
        <w:fldChar w:fldCharType="separate"/>
      </w:r>
      <w:r w:rsidR="00040A08">
        <w:rPr>
          <w:rFonts w:ascii="Microsoft Sans Serif" w:hAnsi="Microsoft Sans Serif" w:cs="Microsoft Sans Serif"/>
          <w:noProof/>
          <w:sz w:val="20"/>
          <w:szCs w:val="20"/>
        </w:rPr>
        <w:t>(Kruskal and Wallis 1952)</w:t>
      </w:r>
      <w:r w:rsidR="00040A08">
        <w:rPr>
          <w:rFonts w:ascii="Microsoft Sans Serif" w:hAnsi="Microsoft Sans Serif" w:cs="Microsoft Sans Serif"/>
          <w:sz w:val="20"/>
          <w:szCs w:val="20"/>
        </w:rPr>
        <w:fldChar w:fldCharType="end"/>
      </w:r>
      <w:r w:rsidRPr="007862CA">
        <w:rPr>
          <w:rFonts w:ascii="Microsoft Sans Serif" w:hAnsi="Microsoft Sans Serif" w:cs="Microsoft Sans Serif"/>
          <w:sz w:val="20"/>
          <w:szCs w:val="20"/>
        </w:rPr>
        <w:t xml:space="preserve"> test.</w:t>
      </w:r>
    </w:p>
    <w:p w14:paraId="55B2BF9C" w14:textId="77777777" w:rsidR="008D781A" w:rsidRDefault="008D781A" w:rsidP="00040A08">
      <w:pPr>
        <w:rPr>
          <w:rFonts w:ascii="Microsoft Sans Serif" w:hAnsi="Microsoft Sans Serif" w:cs="Microsoft Sans Serif"/>
          <w:sz w:val="20"/>
          <w:szCs w:val="20"/>
        </w:rPr>
      </w:pPr>
      <w:r>
        <w:rPr>
          <w:rFonts w:ascii="Microsoft Sans Serif" w:hAnsi="Microsoft Sans Serif" w:cs="Microsoft Sans Serif"/>
          <w:sz w:val="20"/>
          <w:szCs w:val="20"/>
        </w:rPr>
        <w:br w:type="page"/>
      </w:r>
    </w:p>
    <w:p w14:paraId="5B80397A" w14:textId="6536EFD1" w:rsidR="00A87667" w:rsidRPr="00A87667" w:rsidRDefault="00A87667" w:rsidP="00A87667">
      <w:pPr>
        <w:rPr>
          <w:rFonts w:ascii="Times New Roman" w:eastAsia="Times New Roman" w:hAnsi="Times New Roman" w:cs="Times New Roman"/>
        </w:rPr>
      </w:pPr>
      <w:r w:rsidRPr="00A87667">
        <w:rPr>
          <w:rFonts w:ascii="Times New Roman" w:eastAsia="Times New Roman" w:hAnsi="Times New Roman" w:cs="Times New Roman"/>
        </w:rPr>
        <w:lastRenderedPageBreak/>
        <w:fldChar w:fldCharType="begin"/>
      </w:r>
      <w:r w:rsidRPr="00A87667">
        <w:rPr>
          <w:rFonts w:ascii="Times New Roman" w:eastAsia="Times New Roman" w:hAnsi="Times New Roman" w:cs="Times New Roman"/>
        </w:rPr>
        <w:instrText xml:space="preserve"> INCLUDEPICTURE "/var/folders/lw/rgln_s1j6f11mynx2s3dwsb40000gp/T/com.microsoft.Word/WebArchiveCopyPasteTempFiles/FIGURE_REF_PERFORMANCE.jpg" \* MERGEFORMATINET </w:instrText>
      </w:r>
      <w:r w:rsidRPr="00A87667">
        <w:rPr>
          <w:rFonts w:ascii="Times New Roman" w:eastAsia="Times New Roman" w:hAnsi="Times New Roman" w:cs="Times New Roman"/>
        </w:rPr>
        <w:fldChar w:fldCharType="separate"/>
      </w:r>
      <w:r w:rsidRPr="00A8766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41EC533" wp14:editId="5534CA04">
            <wp:extent cx="5943600" cy="4381500"/>
            <wp:effectExtent l="0" t="0" r="0" b="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667">
        <w:rPr>
          <w:rFonts w:ascii="Times New Roman" w:eastAsia="Times New Roman" w:hAnsi="Times New Roman" w:cs="Times New Roman"/>
        </w:rPr>
        <w:fldChar w:fldCharType="end"/>
      </w:r>
    </w:p>
    <w:p w14:paraId="693ED02A" w14:textId="6B3C3226" w:rsidR="00EE2634" w:rsidRPr="00D42EA7" w:rsidRDefault="00EE2634" w:rsidP="00040A08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</w:p>
    <w:p w14:paraId="29C4D3D2" w14:textId="08AB3B13" w:rsidR="00EE2634" w:rsidRPr="00E461F5" w:rsidRDefault="00EE2634" w:rsidP="00040A08">
      <w:pP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</w:pPr>
      <w:r w:rsidRPr="008225E6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Fig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ure</w:t>
      </w:r>
      <w:r w:rsidRPr="008225E6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S</w:t>
      </w:r>
      <w:r w:rsidR="00D42EA7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7</w:t>
      </w:r>
      <w:r w:rsidRPr="008225E6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r w:rsidRPr="007452EF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The LI Detector has high specificity and sensitivity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 regardless of the strain used for empirical testing</w:t>
      </w:r>
      <w:r w:rsidRPr="007452EF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. A. </w:t>
      </w:r>
      <w:r w:rsidR="00F65D82"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Average specificity (solid colored line) and standard error (gray region) at various </w:t>
      </w:r>
      <w:r w:rsidR="00F65D82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empirical </w:t>
      </w:r>
      <w:r w:rsidR="00F65D82"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p-value cut-offs </w:t>
      </w:r>
      <w:r w:rsidR="00F65D82">
        <w:rPr>
          <w:rFonts w:ascii="Microsoft Sans Serif" w:hAnsi="Microsoft Sans Serif" w:cs="Microsoft Sans Serif"/>
          <w:color w:val="000000" w:themeColor="text1"/>
          <w:sz w:val="20"/>
          <w:szCs w:val="20"/>
        </w:rPr>
        <w:t>when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empirical testing done using Tester</w:t>
      </w:r>
      <w:r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(blue)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and Reference</w:t>
      </w:r>
      <w:r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(green). Specificity (y-axis) was estimated using the condition negative dataset as the proportion of mutants classified as neutral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. </w:t>
      </w:r>
      <w:r w:rsidRPr="007452EF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B. </w:t>
      </w:r>
      <w:r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>LID</w:t>
      </w:r>
      <w:r w:rsidRPr="007452EF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 </w:t>
      </w:r>
      <w:r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phenotype classification results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when empirical testing done using Tester. The </w:t>
      </w:r>
      <w:r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virtual plates with bimodal distribution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were used for this analysis</w:t>
      </w:r>
      <w:r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. Sensitivity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is calculated as</w:t>
      </w:r>
      <w:r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the proportion of mutants correctly identified as significantly different (beneficial or deleterious) than the reference for each fitness effect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value</w:t>
      </w:r>
      <w:r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>. The dotted red line indicates a 5% fitness effect.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A 5% </w:t>
      </w:r>
      <w:r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>false positive rate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was maintained while generating these results.</w:t>
      </w:r>
      <w:r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</w:t>
      </w:r>
      <w:r w:rsidRPr="007452EF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C.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LID </w:t>
      </w:r>
      <w:r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phenotype classification results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when empirical testing done using Reference, </w:t>
      </w:r>
      <w:r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>f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or</w:t>
      </w:r>
      <w:r w:rsidRPr="007452EF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the same data as </w:t>
      </w:r>
      <w:r w:rsidRPr="007452EF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B</w:t>
      </w:r>
      <w:r w:rsidR="000B11C2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 </w:t>
      </w:r>
      <w:r w:rsidR="000B11C2" w:rsidRPr="00E461F5">
        <w:rPr>
          <w:rFonts w:ascii="Microsoft Sans Serif" w:hAnsi="Microsoft Sans Serif" w:cs="Microsoft Sans Serif"/>
          <w:color w:val="000000" w:themeColor="text1"/>
          <w:sz w:val="20"/>
          <w:szCs w:val="20"/>
        </w:rPr>
        <w:t>(this graph is identical as the one shown in</w:t>
      </w:r>
      <w:r w:rsidR="000B11C2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</w:t>
      </w:r>
      <w:r w:rsidR="000B11C2" w:rsidRPr="000B11C2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Figure </w:t>
      </w:r>
      <w:r w:rsidR="000B11C2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3B</w:t>
      </w:r>
      <w:r w:rsidR="000B11C2" w:rsidRPr="00E461F5">
        <w:rPr>
          <w:rFonts w:ascii="Microsoft Sans Serif" w:hAnsi="Microsoft Sans Serif" w:cs="Microsoft Sans Serif"/>
          <w:color w:val="000000" w:themeColor="text1"/>
          <w:sz w:val="20"/>
          <w:szCs w:val="20"/>
        </w:rPr>
        <w:t>)</w:t>
      </w:r>
      <w:r w:rsidRPr="00E461F5">
        <w:rPr>
          <w:rFonts w:ascii="Microsoft Sans Serif" w:hAnsi="Microsoft Sans Serif" w:cs="Microsoft Sans Serif"/>
          <w:color w:val="000000" w:themeColor="text1"/>
          <w:sz w:val="20"/>
          <w:szCs w:val="20"/>
        </w:rPr>
        <w:t>.</w:t>
      </w:r>
    </w:p>
    <w:p w14:paraId="5BB689A5" w14:textId="77777777" w:rsidR="00D42EA7" w:rsidRDefault="00D42EA7" w:rsidP="00D42EA7">
      <w:pPr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noProof/>
          <w:color w:val="4472C4" w:themeColor="accent1"/>
        </w:rPr>
        <w:lastRenderedPageBreak/>
        <w:drawing>
          <wp:inline distT="0" distB="0" distL="0" distR="0" wp14:anchorId="0AF1019D" wp14:editId="5AD7903E">
            <wp:extent cx="5943600" cy="8074890"/>
            <wp:effectExtent l="0" t="0" r="0" b="254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6BBE" w14:textId="225AA11C" w:rsidR="00D42EA7" w:rsidRDefault="00D42EA7" w:rsidP="00D42EA7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  <w:r w:rsidRPr="008225E6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lastRenderedPageBreak/>
        <w:t>Fig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ure</w:t>
      </w:r>
      <w:r w:rsidRPr="008225E6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S8</w:t>
      </w:r>
      <w:r w:rsidRPr="008225E6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Performance results from alternate statistical testing of the virtual plates with random colony size distribution.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LI Detector (LID) and MATLAB Colony Analyzer Toolkit (MCAT)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begin">
          <w:fldData xml:space="preserve">PEVuZE5vdGU+PENpdGU+PEF1dGhvcj5CZWFuPC9BdXRob3I+PFllYXI+MjAxNDwvWWVhcj48UmVj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</w:fldData>
        </w:fldChar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instrText xml:space="preserve"> ADDIN EN.CITE </w:instrTex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begin">
          <w:fldData xml:space="preserve">PEVuZE5vdGU+PENpdGU+PEF1dGhvcj5CZWFuPC9BdXRob3I+PFllYXI+MjAxNDwvWWVhcj48UmVj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</w:fldData>
        </w:fldChar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instrText xml:space="preserve"> ADDIN EN.CITE.DATA </w:instrTex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end"/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separate"/>
      </w:r>
      <w:r>
        <w:rPr>
          <w:rFonts w:ascii="Microsoft Sans Serif" w:hAnsi="Microsoft Sans Serif" w:cs="Microsoft Sans Serif"/>
          <w:noProof/>
          <w:color w:val="000000" w:themeColor="text1"/>
          <w:sz w:val="20"/>
          <w:szCs w:val="20"/>
        </w:rPr>
        <w:t>(Bean et al. 2014)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end"/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were used for spatial bias correction of the virtual plates with random colon size distribution (</w:t>
      </w:r>
      <w:r w:rsidRPr="00040A08">
        <w:rPr>
          <w:rFonts w:ascii="Microsoft Sans Serif" w:hAnsi="Microsoft Sans Serif" w:cs="Microsoft Sans Serif"/>
          <w:color w:val="000000" w:themeColor="text1"/>
          <w:sz w:val="20"/>
          <w:szCs w:val="20"/>
        </w:rPr>
        <w:t>see Materials and Methods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). Fitness results were tested using an empirical test (</w:t>
      </w:r>
      <w:r w:rsidRPr="00040A08">
        <w:rPr>
          <w:rFonts w:ascii="Microsoft Sans Serif" w:hAnsi="Microsoft Sans Serif" w:cs="Microsoft Sans Serif"/>
          <w:color w:val="000000" w:themeColor="text1"/>
          <w:sz w:val="20"/>
          <w:szCs w:val="20"/>
        </w:rPr>
        <w:t>see Materials and Methods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) and the non-parametric Wilcoxon </w:t>
      </w:r>
      <w:proofErr w:type="spellStart"/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ranksum</w:t>
      </w:r>
      <w:proofErr w:type="spellEnd"/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Test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begin"/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instrText xml:space="preserve"> ADDIN EN.CITE &lt;EndNote&gt;&lt;Cite&gt;&lt;Author&gt;Wilcoxon&lt;/Author&gt;&lt;Year&gt;1946&lt;/Year&gt;&lt;RecNum&gt;1223&lt;/RecNum&gt;&lt;DisplayText&gt;(Mann and Whitney 1947; Wilcoxon 1946)&lt;/DisplayText&gt;&lt;record&gt;&lt;rec-number&gt;1223&lt;/rec-number&gt;&lt;foreign-keys&gt;&lt;key app="EN" db-id="x2xav2dzzvp5ddez223vpv22tw9d5dx2dxxv" timestamp="1607095789"&gt;1223&lt;/key&gt;&lt;/foreign-keys&gt;&lt;ref-type name="Journal Article"&gt;17&lt;/ref-type&gt;&lt;contributors&gt;&lt;authors&gt;&lt;author&gt;Wilcoxon, F.&lt;/author&gt;&lt;/authors&gt;&lt;/contributors&gt;&lt;titles&gt;&lt;title&gt;Individual comparisons of grouped data by ranking methods&lt;/title&gt;&lt;secondary-title&gt;J Econ Entomol&lt;/secondary-title&gt;&lt;/titles&gt;&lt;periodical&gt;&lt;full-title&gt;J Econ Entomol&lt;/full-title&gt;&lt;/periodical&gt;&lt;pages&gt;269&lt;/pages&gt;&lt;volume&gt;39&lt;/volume&gt;&lt;edition&gt;1946/04/01&lt;/edition&gt;&lt;keywords&gt;&lt;keyword&gt;Animals&lt;/keyword&gt;&lt;keyword&gt;*Biometry&lt;/keyword&gt;&lt;keyword&gt;*Statistics as Topic&lt;/keyword&gt;&lt;keyword&gt;*statistics&lt;/keyword&gt;&lt;/keywords&gt;&lt;dates&gt;&lt;year&gt;1946&lt;/year&gt;&lt;pub-dates&gt;&lt;date&gt;Apr&lt;/date&gt;&lt;/pub-dates&gt;&lt;/dates&gt;&lt;isbn&gt;0022-0493 (Print)&amp;#xD;0022-0493 (Linking)&lt;/isbn&gt;&lt;accession-num&gt;20983181&lt;/accession-num&gt;&lt;urls&gt;&lt;related-urls&gt;&lt;url&gt;https://www.ncbi.nlm.nih.gov/pubmed/20983181&lt;/url&gt;&lt;/related-urls&gt;&lt;/urls&gt;&lt;electronic-resource-num&gt;10.1093/jee/39.2.269&lt;/electronic-resource-num&gt;&lt;/record&gt;&lt;/Cite&gt;&lt;Cite&gt;&lt;Author&gt;Mann&lt;/Author&gt;&lt;Year&gt;1947&lt;/Year&gt;&lt;RecNum&gt;1227&lt;/RecNum&gt;&lt;record&gt;&lt;rec-number&gt;1227&lt;/rec-number&gt;&lt;foreign-keys&gt;&lt;key app="EN" db-id="x2xav2dzzvp5ddez223vpv22tw9d5dx2dxxv" timestamp="1607096145"&gt;1227&lt;/key&gt;&lt;/foreign-keys&gt;&lt;ref-type name="Journal Article"&gt;17&lt;/ref-type&gt;&lt;contributors&gt;&lt;authors&gt;&lt;author&gt;Mann, H. B.&lt;/author&gt;&lt;author&gt;Whitney, D. R.&lt;/author&gt;&lt;/authors&gt;&lt;/contributors&gt;&lt;titles&gt;&lt;title&gt;On a test of whether one of two random variables is stochastically larger than the other&lt;/title&gt;&lt;secondary-title&gt;The Annals of Mathematical Statistics&lt;/secondary-title&gt;&lt;/titles&gt;&lt;periodical&gt;&lt;full-title&gt;The Annals of Mathematical Statistics&lt;/full-title&gt;&lt;/periodical&gt;&lt;pages&gt;50-60&lt;/pages&gt;&lt;volume&gt;18&lt;/volume&gt;&lt;number&gt;1&lt;/number&gt;&lt;dates&gt;&lt;year&gt;1947&lt;/year&gt;&lt;/dates&gt;&lt;urls&gt;&lt;/urls&gt;&lt;/record&gt;&lt;/Cite&gt;&lt;/EndNote&gt;</w:instrTex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separate"/>
      </w:r>
      <w:r>
        <w:rPr>
          <w:rFonts w:ascii="Microsoft Sans Serif" w:hAnsi="Microsoft Sans Serif" w:cs="Microsoft Sans Serif"/>
          <w:noProof/>
          <w:color w:val="000000" w:themeColor="text1"/>
          <w:sz w:val="20"/>
          <w:szCs w:val="20"/>
        </w:rPr>
        <w:t>(Mann and Whitney 1947; Wilcoxon 1946)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end"/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with </w:t>
      </w:r>
      <w:proofErr w:type="spellStart"/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Storey’s</w:t>
      </w:r>
      <w:proofErr w:type="spellEnd"/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multiple hypothesis correction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begin"/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instrText xml:space="preserve"> ADDIN EN.CITE &lt;EndNote&gt;&lt;Cite&gt;&lt;Author&gt;Storey&lt;/Author&gt;&lt;Year&gt;2002&lt;/Year&gt;&lt;RecNum&gt;1316&lt;/RecNum&gt;&lt;DisplayText&gt;(Storey 2002)&lt;/DisplayText&gt;&lt;record&gt;&lt;rec-number&gt;1316&lt;/rec-number&gt;&lt;foreign-keys&gt;&lt;key app="EN" db-id="x2xav2dzzvp5ddez223vpv22tw9d5dx2dxxv" timestamp="1607134726"&gt;1316&lt;/key&gt;&lt;/foreign-keys&gt;&lt;ref-type name="Journal Article"&gt;17&lt;/ref-type&gt;&lt;contributors&gt;&lt;authors&gt;&lt;author&gt;Storey, J. D.&lt;/author&gt;&lt;/authors&gt;&lt;/contributors&gt;&lt;titles&gt;&lt;title&gt;A direct approach to false discovery rates.&lt;/title&gt;&lt;secondary-title&gt;J. R. Stat. Soc. B&lt;/secondary-title&gt;&lt;/titles&gt;&lt;periodical&gt;&lt;full-title&gt;J. R. Stat. Soc. B&lt;/full-title&gt;&lt;/periodical&gt;&lt;pages&gt;479-498&lt;/pages&gt;&lt;volume&gt;64&lt;/volume&gt;&lt;dates&gt;&lt;year&gt;2002&lt;/year&gt;&lt;/dates&gt;&lt;urls&gt;&lt;/urls&gt;&lt;/record&gt;&lt;/Cite&gt;&lt;/EndNote&gt;</w:instrTex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separate"/>
      </w:r>
      <w:r>
        <w:rPr>
          <w:rFonts w:ascii="Microsoft Sans Serif" w:hAnsi="Microsoft Sans Serif" w:cs="Microsoft Sans Serif"/>
          <w:noProof/>
          <w:color w:val="000000" w:themeColor="text1"/>
          <w:sz w:val="20"/>
          <w:szCs w:val="20"/>
        </w:rPr>
        <w:t>(Storey 2002)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end"/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. </w:t>
      </w:r>
      <w:r w:rsidRPr="0091659D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A.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Pie chart of the underlying truth of the dataset, and </w:t>
      </w:r>
      <w:r w:rsidRPr="0091659D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B.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results from the use of LID and MCAT in combination with the two modes of statistical testing. </w:t>
      </w:r>
      <w:r w:rsidRPr="0091659D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C.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Overall results show that the use of empirical testing has lower sensitivity but higher specificity than with the use of Wilcoxon </w:t>
      </w:r>
      <w:proofErr w:type="spellStart"/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ranksum</w:t>
      </w:r>
      <w:proofErr w:type="spellEnd"/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test</w:t>
      </w:r>
      <w:r w:rsidR="003D1556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</w:t>
      </w:r>
      <w:r w:rsidR="003D1556"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begin"/>
      </w:r>
      <w:r w:rsidR="003D1556">
        <w:rPr>
          <w:rFonts w:ascii="Microsoft Sans Serif" w:hAnsi="Microsoft Sans Serif" w:cs="Microsoft Sans Serif"/>
          <w:color w:val="000000" w:themeColor="text1"/>
          <w:sz w:val="20"/>
          <w:szCs w:val="20"/>
        </w:rPr>
        <w:instrText xml:space="preserve"> ADDIN EN.CITE &lt;EndNote&gt;&lt;Cite&gt;&lt;Author&gt;Wilcoxon&lt;/Author&gt;&lt;Year&gt;1946&lt;/Year&gt;&lt;RecNum&gt;1223&lt;/RecNum&gt;&lt;DisplayText&gt;(Mann and Whitney 1947; Wilcoxon 1946)&lt;/DisplayText&gt;&lt;record&gt;&lt;rec-number&gt;1223&lt;/rec-number&gt;&lt;foreign-keys&gt;&lt;key app="EN" db-id="x2xav2dzzvp5ddez223vpv22tw9d5dx2dxxv" timestamp="1607095789"&gt;1223&lt;/key&gt;&lt;/foreign-keys&gt;&lt;ref-type name="Journal Article"&gt;17&lt;/ref-type&gt;&lt;contributors&gt;&lt;authors&gt;&lt;author&gt;Wilcoxon, F.&lt;/author&gt;&lt;/authors&gt;&lt;/contributors&gt;&lt;titles&gt;&lt;title&gt;Individual comparisons of grouped data by ranking methods&lt;/title&gt;&lt;secondary-title&gt;J Econ Entomol&lt;/secondary-title&gt;&lt;/titles&gt;&lt;periodical&gt;&lt;full-title&gt;J Econ Entomol&lt;/full-title&gt;&lt;/periodical&gt;&lt;pages&gt;269&lt;/pages&gt;&lt;volume&gt;39&lt;/volume&gt;&lt;edition&gt;1946/04/01&lt;/edition&gt;&lt;keywords&gt;&lt;keyword&gt;Animals&lt;/keyword&gt;&lt;keyword&gt;*Biometry&lt;/keyword&gt;&lt;keyword&gt;*Statistics as Topic&lt;/keyword&gt;&lt;keyword&gt;*statistics&lt;/keyword&gt;&lt;/keywords&gt;&lt;dates&gt;&lt;year&gt;1946&lt;/year&gt;&lt;pub-dates&gt;&lt;date&gt;Apr&lt;/date&gt;&lt;/pub-dates&gt;&lt;/dates&gt;&lt;isbn&gt;0022-0493 (Print)&amp;#xD;0022-0493 (Linking)&lt;/isbn&gt;&lt;accession-num&gt;20983181&lt;/accession-num&gt;&lt;urls&gt;&lt;related-urls&gt;&lt;url&gt;https://www.ncbi.nlm.nih.gov/pubmed/20983181&lt;/url&gt;&lt;/related-urls&gt;&lt;/urls&gt;&lt;electronic-resource-num&gt;10.1093/jee/39.2.269&lt;/electronic-resource-num&gt;&lt;/record&gt;&lt;/Cite&gt;&lt;Cite&gt;&lt;Author&gt;Mann&lt;/Author&gt;&lt;Year&gt;1947&lt;/Year&gt;&lt;RecNum&gt;1227&lt;/RecNum&gt;&lt;record&gt;&lt;rec-number&gt;1227&lt;/rec-number&gt;&lt;foreign-keys&gt;&lt;key app="EN" db-id="x2xav2dzzvp5ddez223vpv22tw9d5dx2dxxv" timestamp="1607096145"&gt;1227&lt;/key&gt;&lt;/foreign-keys&gt;&lt;ref-type name="Journal Article"&gt;17&lt;/ref-type&gt;&lt;contributors&gt;&lt;authors&gt;&lt;author&gt;Mann, H. B.&lt;/author&gt;&lt;author&gt;Whitney, D. R.&lt;/author&gt;&lt;/authors&gt;&lt;/contributors&gt;&lt;titles&gt;&lt;title&gt;On a test of whether one of two random variables is stochastically larger than the other&lt;/title&gt;&lt;secondary-title&gt;The Annals of Mathematical Statistics&lt;/secondary-title&gt;&lt;/titles&gt;&lt;periodical&gt;&lt;full-title&gt;The Annals of Mathematical Statistics&lt;/full-title&gt;&lt;/periodical&gt;&lt;pages&gt;50-60&lt;/pages&gt;&lt;volume&gt;18&lt;/volume&gt;&lt;number&gt;1&lt;/number&gt;&lt;dates&gt;&lt;year&gt;1947&lt;/year&gt;&lt;/dates&gt;&lt;urls&gt;&lt;/urls&gt;&lt;/record&gt;&lt;/Cite&gt;&lt;/EndNote&gt;</w:instrText>
      </w:r>
      <w:r w:rsidR="003D1556"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separate"/>
      </w:r>
      <w:r w:rsidR="003D1556">
        <w:rPr>
          <w:rFonts w:ascii="Microsoft Sans Serif" w:hAnsi="Microsoft Sans Serif" w:cs="Microsoft Sans Serif"/>
          <w:noProof/>
          <w:color w:val="000000" w:themeColor="text1"/>
          <w:sz w:val="20"/>
          <w:szCs w:val="20"/>
        </w:rPr>
        <w:t>(Mann and Whitney 1947; Wilcoxon 1946)</w:t>
      </w:r>
      <w:r w:rsidR="003D1556">
        <w:rPr>
          <w:rFonts w:ascii="Microsoft Sans Serif" w:hAnsi="Microsoft Sans Serif" w:cs="Microsoft Sans Serif"/>
          <w:color w:val="000000" w:themeColor="text1"/>
          <w:sz w:val="20"/>
          <w:szCs w:val="20"/>
        </w:rPr>
        <w:fldChar w:fldCharType="end"/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. LID had more than 95% sensitivity and specificity, regardless of the statistical test used.</w:t>
      </w:r>
    </w:p>
    <w:p w14:paraId="5DA3082B" w14:textId="77777777" w:rsidR="008D781A" w:rsidRDefault="008D781A" w:rsidP="00040A08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</w:p>
    <w:p w14:paraId="6A294D35" w14:textId="77777777" w:rsidR="008D781A" w:rsidRPr="007862CA" w:rsidRDefault="008D781A" w:rsidP="00040A08">
      <w:pPr>
        <w:spacing w:line="276" w:lineRule="auto"/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</w:p>
    <w:p w14:paraId="32FB45ED" w14:textId="77777777" w:rsidR="006449CE" w:rsidRPr="008422A3" w:rsidRDefault="006449CE" w:rsidP="00040A08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</w:p>
    <w:p w14:paraId="6E58060B" w14:textId="77777777" w:rsidR="006449CE" w:rsidRPr="007862CA" w:rsidRDefault="006449CE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</w:p>
    <w:p w14:paraId="69EEF91C" w14:textId="77777777" w:rsidR="005C3EA3" w:rsidRPr="00D46121" w:rsidRDefault="005C3EA3" w:rsidP="00040A08">
      <w:pPr>
        <w:spacing w:line="48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FD785BC" w14:textId="77777777" w:rsidR="005C3EA3" w:rsidRPr="00D46121" w:rsidRDefault="005C3EA3" w:rsidP="00040A08">
      <w:pPr>
        <w:spacing w:line="48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A32399D" w14:textId="77777777" w:rsidR="005C3EA3" w:rsidRPr="00D46121" w:rsidRDefault="005C3EA3" w:rsidP="00040A08">
      <w:pPr>
        <w:spacing w:line="48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3D91E57" w14:textId="77777777" w:rsidR="005C3EA3" w:rsidRPr="00366AA4" w:rsidRDefault="005C3EA3" w:rsidP="00040A08">
      <w:pPr>
        <w:spacing w:line="276" w:lineRule="auto"/>
        <w:rPr>
          <w:rFonts w:ascii="Arial" w:hAnsi="Arial" w:cs="Arial"/>
          <w:sz w:val="20"/>
          <w:szCs w:val="20"/>
        </w:rPr>
      </w:pPr>
      <w:r w:rsidRPr="00366AA4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5D83D01" wp14:editId="13A91ABF">
            <wp:extent cx="5486400" cy="7343522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D56F" w14:textId="77777777" w:rsidR="005C3EA3" w:rsidRPr="00D46121" w:rsidRDefault="005C3EA3" w:rsidP="00040A08">
      <w:pPr>
        <w:spacing w:line="276" w:lineRule="auto"/>
        <w:rPr>
          <w:rFonts w:ascii="Arial" w:hAnsi="Arial" w:cs="Arial"/>
          <w:sz w:val="20"/>
          <w:szCs w:val="20"/>
        </w:rPr>
      </w:pPr>
    </w:p>
    <w:p w14:paraId="4FA1D765" w14:textId="699DA728" w:rsidR="005C3EA3" w:rsidRPr="007862CA" w:rsidRDefault="005C3EA3" w:rsidP="00040A08">
      <w:pPr>
        <w:spacing w:line="276" w:lineRule="auto"/>
        <w:rPr>
          <w:rFonts w:ascii="Microsoft Sans Serif" w:hAnsi="Microsoft Sans Serif" w:cs="Microsoft Sans Serif"/>
          <w:b/>
          <w:bCs/>
          <w:sz w:val="20"/>
          <w:szCs w:val="20"/>
        </w:rPr>
      </w:pP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>Figure S</w:t>
      </w:r>
      <w:r w:rsidR="002902FD">
        <w:rPr>
          <w:rFonts w:ascii="Microsoft Sans Serif" w:hAnsi="Microsoft Sans Serif" w:cs="Microsoft Sans Serif"/>
          <w:b/>
          <w:bCs/>
          <w:sz w:val="20"/>
          <w:szCs w:val="20"/>
        </w:rPr>
        <w:t>9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>. Workflow of the methodology adopted for analyzing LI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 xml:space="preserve"> 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>Detector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>’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>s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 xml:space="preserve"> 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>performance.</w:t>
      </w:r>
    </w:p>
    <w:p w14:paraId="0ED10FE4" w14:textId="77777777" w:rsidR="005C3EA3" w:rsidRPr="00D46121" w:rsidRDefault="005C3EA3" w:rsidP="00040A08">
      <w:pPr>
        <w:spacing w:line="48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55B5B46" w14:textId="37E1A393" w:rsidR="005C3EA3" w:rsidRDefault="005C3EA3" w:rsidP="00040A08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  <w:r w:rsidRPr="00366AA4"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973BA85" wp14:editId="47C775CE">
            <wp:extent cx="5943600" cy="6882645"/>
            <wp:effectExtent l="0" t="0" r="0" b="1270"/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2CA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Figure S</w:t>
      </w:r>
      <w:r w:rsidR="002902FD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10</w:t>
      </w:r>
      <w:r w:rsidRPr="007862CA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. Colony size distributions of all virtual plates with a bimodal distribution. 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>Composite density plot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with each panel representing an individual plate. In each panel,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the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colony sizes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of the 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>reference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population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are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represented by the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grey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density plot and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that of the 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mutant by the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purple density plot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.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The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reference colony time point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(</w:t>
      </w:r>
      <w:proofErr w:type="spellStart"/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t</w:t>
      </w:r>
      <w:r w:rsidRPr="00DD4A4D">
        <w:rPr>
          <w:rFonts w:ascii="Microsoft Sans Serif" w:hAnsi="Microsoft Sans Serif" w:cs="Microsoft Sans Serif"/>
          <w:color w:val="000000" w:themeColor="text1"/>
          <w:sz w:val="20"/>
          <w:szCs w:val="20"/>
          <w:vertAlign w:val="subscript"/>
        </w:rPr>
        <w:t>R</w:t>
      </w:r>
      <w:proofErr w:type="spellEnd"/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) 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>increases as we go from the top to bottom, and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the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mutant colony time point 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(</w:t>
      </w:r>
      <w:proofErr w:type="spellStart"/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>t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  <w:vertAlign w:val="subscript"/>
        </w:rPr>
        <w:t>M</w:t>
      </w:r>
      <w:proofErr w:type="spellEnd"/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) 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increases from left to right. The diagonal represents the real plate data where both the references and mutants are at the same time point – condition negative dataset. Everything to the left of the diagonal is condition positive deleterious data, and everything to the left is condition positive beneficial. </w:t>
      </w:r>
      <w:r w:rsidRPr="00A360F6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Figure 2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C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is the fitness effect matrix of this composite plot.</w:t>
      </w:r>
    </w:p>
    <w:p w14:paraId="664D0B47" w14:textId="34B68A92" w:rsidR="002902FD" w:rsidRDefault="002902FD" w:rsidP="00040A08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</w:p>
    <w:p w14:paraId="3926F1BC" w14:textId="77777777" w:rsidR="002902FD" w:rsidRPr="00366AA4" w:rsidRDefault="002902FD" w:rsidP="00040A08">
      <w:pPr>
        <w:spacing w:line="480" w:lineRule="auto"/>
        <w:rPr>
          <w:rFonts w:ascii="Arial" w:hAnsi="Arial" w:cs="Arial"/>
          <w:sz w:val="20"/>
          <w:szCs w:val="20"/>
        </w:rPr>
      </w:pPr>
      <w:r w:rsidRPr="00366AA4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B91B796" wp14:editId="203CEB95">
            <wp:extent cx="5943593" cy="1867039"/>
            <wp:effectExtent l="0" t="0" r="635" b="0"/>
            <wp:docPr id="100" name="Picture 10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picture containing 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593" cy="186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807B" w14:textId="49C20864" w:rsidR="002902FD" w:rsidRPr="00EE5B6C" w:rsidRDefault="002902FD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  <w:r w:rsidRPr="00EE5B6C">
        <w:rPr>
          <w:rFonts w:ascii="Microsoft Sans Serif" w:hAnsi="Microsoft Sans Serif" w:cs="Microsoft Sans Serif"/>
          <w:b/>
          <w:bCs/>
          <w:sz w:val="20"/>
          <w:szCs w:val="20"/>
        </w:rPr>
        <w:t>Figure S1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>1</w:t>
      </w:r>
      <w:r w:rsidRPr="00EE5B6C">
        <w:rPr>
          <w:rFonts w:ascii="Microsoft Sans Serif" w:hAnsi="Microsoft Sans Serif" w:cs="Microsoft Sans Serif"/>
          <w:b/>
          <w:bCs/>
          <w:sz w:val="20"/>
          <w:szCs w:val="20"/>
        </w:rPr>
        <w:t xml:space="preserve">. Making 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 xml:space="preserve">of </w:t>
      </w:r>
      <w:r w:rsidRPr="00EE5B6C">
        <w:rPr>
          <w:rFonts w:ascii="Microsoft Sans Serif" w:hAnsi="Microsoft Sans Serif" w:cs="Microsoft Sans Serif"/>
          <w:b/>
          <w:bCs/>
          <w:sz w:val="20"/>
          <w:szCs w:val="20"/>
        </w:rPr>
        <w:t>a virtual plate with a bimodal distribution.</w:t>
      </w:r>
      <w:r w:rsidRPr="00EE5B6C">
        <w:rPr>
          <w:rFonts w:ascii="Microsoft Sans Serif" w:hAnsi="Microsoft Sans Serif" w:cs="Microsoft Sans Serif"/>
          <w:sz w:val="20"/>
          <w:szCs w:val="20"/>
        </w:rPr>
        <w:t xml:space="preserve"> The time-lapse images of the final screen plates can be used to create virtual plates where reference and mutant colony sizes come from different time points. The above three panels are a zoom-in version of the same region of a 6144-density plate. Colony type is represented by colors, and colony size by point size. </w:t>
      </w:r>
      <w:r w:rsidRPr="00EE5B6C">
        <w:rPr>
          <w:rFonts w:ascii="Microsoft Sans Serif" w:hAnsi="Microsoft Sans Serif" w:cs="Microsoft Sans Serif"/>
          <w:b/>
          <w:bCs/>
          <w:sz w:val="20"/>
          <w:szCs w:val="20"/>
        </w:rPr>
        <w:t>A.</w:t>
      </w:r>
      <w:r w:rsidRPr="00EE5B6C">
        <w:rPr>
          <w:rFonts w:ascii="Microsoft Sans Serif" w:hAnsi="Microsoft Sans Serif" w:cs="Microsoft Sans Serif"/>
          <w:sz w:val="20"/>
          <w:szCs w:val="20"/>
        </w:rPr>
        <w:t xml:space="preserve"> Shows the colony layout and colony size estimations at 2.9 hours, </w:t>
      </w:r>
      <w:r w:rsidRPr="00EE5B6C">
        <w:rPr>
          <w:rFonts w:ascii="Microsoft Sans Serif" w:hAnsi="Microsoft Sans Serif" w:cs="Microsoft Sans Serif"/>
          <w:b/>
          <w:bCs/>
          <w:sz w:val="20"/>
          <w:szCs w:val="20"/>
        </w:rPr>
        <w:t>B.</w:t>
      </w:r>
      <w:r w:rsidRPr="00EE5B6C">
        <w:rPr>
          <w:rFonts w:ascii="Microsoft Sans Serif" w:hAnsi="Microsoft Sans Serif" w:cs="Microsoft Sans Serif"/>
          <w:sz w:val="20"/>
          <w:szCs w:val="20"/>
        </w:rPr>
        <w:t xml:space="preserve"> shows the same region at 11.0 hours, and </w:t>
      </w:r>
      <w:r w:rsidRPr="00EE5B6C">
        <w:rPr>
          <w:rFonts w:ascii="Microsoft Sans Serif" w:hAnsi="Microsoft Sans Serif" w:cs="Microsoft Sans Serif"/>
          <w:b/>
          <w:bCs/>
          <w:sz w:val="20"/>
          <w:szCs w:val="20"/>
        </w:rPr>
        <w:t>C.</w:t>
      </w:r>
      <w:r w:rsidRPr="00EE5B6C">
        <w:rPr>
          <w:rFonts w:ascii="Microsoft Sans Serif" w:hAnsi="Microsoft Sans Serif" w:cs="Microsoft Sans Serif"/>
          <w:sz w:val="20"/>
          <w:szCs w:val="20"/>
        </w:rPr>
        <w:t xml:space="preserve"> is an example of the virtual plate that can be created when the reference colony size data is taken from </w:t>
      </w:r>
      <w:r w:rsidRPr="00EE5B6C">
        <w:rPr>
          <w:rFonts w:ascii="Microsoft Sans Serif" w:hAnsi="Microsoft Sans Serif" w:cs="Microsoft Sans Serif"/>
          <w:b/>
          <w:bCs/>
          <w:sz w:val="20"/>
          <w:szCs w:val="20"/>
        </w:rPr>
        <w:t>B.</w:t>
      </w:r>
      <w:r w:rsidRPr="00EE5B6C">
        <w:rPr>
          <w:rFonts w:ascii="Microsoft Sans Serif" w:hAnsi="Microsoft Sans Serif" w:cs="Microsoft Sans Serif"/>
          <w:sz w:val="20"/>
          <w:szCs w:val="20"/>
        </w:rPr>
        <w:t xml:space="preserve"> and mutant colony sizes from </w:t>
      </w:r>
      <w:r w:rsidRPr="00EE5B6C">
        <w:rPr>
          <w:rFonts w:ascii="Microsoft Sans Serif" w:hAnsi="Microsoft Sans Serif" w:cs="Microsoft Sans Serif"/>
          <w:b/>
          <w:bCs/>
          <w:sz w:val="20"/>
          <w:szCs w:val="20"/>
        </w:rPr>
        <w:t>A.</w:t>
      </w:r>
      <w:r w:rsidRPr="00EE5B6C">
        <w:rPr>
          <w:rFonts w:ascii="Microsoft Sans Serif" w:hAnsi="Microsoft Sans Serif" w:cs="Microsoft Sans Serif"/>
          <w:sz w:val="20"/>
          <w:szCs w:val="20"/>
        </w:rPr>
        <w:t xml:space="preserve"> This plate still maintains the overall topological relationships of the colonies. In this example, all mutant colonies on the virtual plate are true positive deleterious by design.</w:t>
      </w:r>
    </w:p>
    <w:p w14:paraId="59EECC78" w14:textId="77777777" w:rsidR="002902FD" w:rsidRPr="007862CA" w:rsidRDefault="002902FD" w:rsidP="00040A08">
      <w:pP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</w:pPr>
    </w:p>
    <w:p w14:paraId="1CC93DCF" w14:textId="77777777" w:rsidR="005C3EA3" w:rsidRPr="00D46121" w:rsidRDefault="005C3EA3" w:rsidP="00040A08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4FE7F587" w14:textId="77777777" w:rsidR="005C3EA3" w:rsidRPr="00D46121" w:rsidRDefault="005C3EA3" w:rsidP="00040A08">
      <w:pPr>
        <w:spacing w:line="480" w:lineRule="auto"/>
        <w:rPr>
          <w:rFonts w:ascii="Arial" w:hAnsi="Arial" w:cs="Arial"/>
          <w:sz w:val="20"/>
          <w:szCs w:val="20"/>
        </w:rPr>
      </w:pPr>
    </w:p>
    <w:p w14:paraId="10C324A5" w14:textId="77777777" w:rsidR="005C3EA3" w:rsidRPr="00D46121" w:rsidRDefault="005C3EA3" w:rsidP="00040A08">
      <w:pPr>
        <w:spacing w:line="480" w:lineRule="auto"/>
        <w:rPr>
          <w:rFonts w:ascii="Arial" w:hAnsi="Arial" w:cs="Arial"/>
          <w:sz w:val="20"/>
          <w:szCs w:val="20"/>
        </w:rPr>
      </w:pPr>
    </w:p>
    <w:p w14:paraId="2961974C" w14:textId="77777777" w:rsidR="005C3EA3" w:rsidRPr="00366AA4" w:rsidRDefault="005C3EA3" w:rsidP="00040A08">
      <w:pPr>
        <w:spacing w:line="276" w:lineRule="auto"/>
        <w:rPr>
          <w:rFonts w:ascii="Arial" w:hAnsi="Arial" w:cs="Arial"/>
          <w:sz w:val="20"/>
          <w:szCs w:val="20"/>
        </w:rPr>
      </w:pPr>
      <w:r w:rsidRPr="00366AA4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B78D933" wp14:editId="16317084">
            <wp:extent cx="5943599" cy="5004554"/>
            <wp:effectExtent l="0" t="0" r="635" b="0"/>
            <wp:docPr id="6" name="Picture 6" descr="A picture containing text, c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ag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500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11C8" w14:textId="2DD66717" w:rsidR="002902FD" w:rsidRDefault="005C3EA3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>Figure S</w:t>
      </w:r>
      <w:r w:rsidR="002902FD">
        <w:rPr>
          <w:rFonts w:ascii="Microsoft Sans Serif" w:hAnsi="Microsoft Sans Serif" w:cs="Microsoft Sans Serif"/>
          <w:b/>
          <w:bCs/>
          <w:sz w:val="20"/>
          <w:szCs w:val="20"/>
        </w:rPr>
        <w:t>12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 xml:space="preserve">. Sensitivity 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 xml:space="preserve">and 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 xml:space="preserve">different 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>strategies for fitness estimation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 xml:space="preserve">. 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Phenotype classification results from the virtual plates with bimodal distributions at a false positive rate of 5% are arranged according to increasing fitness effects. The dotted red line indicates a 5% fitness effect. Individual panels represent distinct </w:t>
      </w:r>
      <w:r w:rsidRPr="00027725">
        <w:rPr>
          <w:rFonts w:ascii="Microsoft Sans Serif" w:hAnsi="Microsoft Sans Serif" w:cs="Microsoft Sans Serif"/>
          <w:sz w:val="20"/>
          <w:szCs w:val="20"/>
        </w:rPr>
        <w:t>strategies for fitness estimation</w:t>
      </w:r>
      <w:r w:rsidRPr="007862CA" w:rsidDel="00F40AA9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</w:t>
      </w:r>
      <w:r w:rsidRPr="00015E35">
        <w:rPr>
          <w:rFonts w:ascii="Microsoft Sans Serif" w:hAnsi="Microsoft Sans Serif" w:cs="Microsoft Sans Serif"/>
          <w:color w:val="000000" w:themeColor="text1"/>
          <w:sz w:val="20"/>
          <w:szCs w:val="20"/>
        </w:rPr>
        <w:t>(</w:t>
      </w:r>
      <w:r w:rsidRPr="000B11C2">
        <w:rPr>
          <w:rFonts w:ascii="Microsoft Sans Serif" w:hAnsi="Microsoft Sans Serif" w:cs="Microsoft Sans Serif"/>
          <w:color w:val="000000" w:themeColor="text1"/>
          <w:sz w:val="20"/>
          <w:szCs w:val="20"/>
        </w:rPr>
        <w:t>see Materials and Methods</w:t>
      </w:r>
      <w:r w:rsidRPr="00015E35">
        <w:rPr>
          <w:rFonts w:ascii="Microsoft Sans Serif" w:hAnsi="Microsoft Sans Serif" w:cs="Microsoft Sans Serif"/>
          <w:color w:val="000000" w:themeColor="text1"/>
          <w:sz w:val="20"/>
          <w:szCs w:val="20"/>
        </w:rPr>
        <w:t>)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- </w:t>
      </w:r>
      <w:r w:rsidRPr="007862CA">
        <w:rPr>
          <w:rFonts w:ascii="Microsoft Sans Serif" w:hAnsi="Microsoft Sans Serif" w:cs="Microsoft Sans Serif"/>
          <w:sz w:val="20"/>
          <w:szCs w:val="20"/>
        </w:rPr>
        <w:t>LI Detector (LID, top left</w:t>
      </w:r>
      <w:r w:rsidR="000B11C2">
        <w:rPr>
          <w:rFonts w:ascii="Microsoft Sans Serif" w:hAnsi="Microsoft Sans Serif" w:cs="Microsoft Sans Serif"/>
          <w:sz w:val="20"/>
          <w:szCs w:val="20"/>
        </w:rPr>
        <w:t xml:space="preserve">, </w:t>
      </w:r>
      <w:r w:rsidR="000B11C2" w:rsidRPr="00E461F5">
        <w:rPr>
          <w:rFonts w:ascii="Microsoft Sans Serif" w:hAnsi="Microsoft Sans Serif" w:cs="Microsoft Sans Serif"/>
          <w:color w:val="000000" w:themeColor="text1"/>
          <w:sz w:val="20"/>
          <w:szCs w:val="20"/>
        </w:rPr>
        <w:t>this graph is identical as the one shown in</w:t>
      </w:r>
      <w:r w:rsidR="000B11C2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</w:t>
      </w:r>
      <w:r w:rsidR="000B11C2" w:rsidRPr="000B11C2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Figure 3B </w:t>
      </w:r>
      <w:r w:rsidR="000B11C2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and </w:t>
      </w:r>
      <w:r w:rsidR="000B11C2" w:rsidRPr="000B11C2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Figure S8C</w:t>
      </w:r>
      <w:r w:rsidR="000B11C2" w:rsidRPr="00E461F5">
        <w:rPr>
          <w:rFonts w:ascii="Microsoft Sans Serif" w:hAnsi="Microsoft Sans Serif" w:cs="Microsoft Sans Serif"/>
          <w:color w:val="000000" w:themeColor="text1"/>
          <w:sz w:val="20"/>
          <w:szCs w:val="20"/>
        </w:rPr>
        <w:t>)</w:t>
      </w:r>
      <w:r w:rsidRPr="007862CA">
        <w:rPr>
          <w:rFonts w:ascii="Microsoft Sans Serif" w:hAnsi="Microsoft Sans Serif" w:cs="Microsoft Sans Serif"/>
          <w:sz w:val="20"/>
          <w:szCs w:val="20"/>
        </w:rPr>
        <w:t>, LI Detector without local artifact correction (LID-AC, top right), LI Detector without source normalization (LID-SN, bottom left)</w:t>
      </w:r>
      <w:r>
        <w:rPr>
          <w:rFonts w:ascii="Microsoft Sans Serif" w:hAnsi="Microsoft Sans Serif" w:cs="Microsoft Sans Serif"/>
          <w:sz w:val="20"/>
          <w:szCs w:val="20"/>
        </w:rPr>
        <w:t>,</w:t>
      </w:r>
      <w:r w:rsidRPr="007862CA">
        <w:rPr>
          <w:rFonts w:ascii="Microsoft Sans Serif" w:hAnsi="Microsoft Sans Serif" w:cs="Microsoft Sans Serif"/>
          <w:sz w:val="20"/>
          <w:szCs w:val="20"/>
        </w:rPr>
        <w:t xml:space="preserve"> and no normalization (NO-NORM, bottom right).</w:t>
      </w:r>
    </w:p>
    <w:p w14:paraId="3D9F5C5A" w14:textId="77777777" w:rsidR="002902FD" w:rsidRDefault="002902FD" w:rsidP="00040A08">
      <w:pPr>
        <w:rPr>
          <w:rFonts w:ascii="Microsoft Sans Serif" w:hAnsi="Microsoft Sans Serif" w:cs="Microsoft Sans Serif"/>
          <w:sz w:val="20"/>
          <w:szCs w:val="20"/>
        </w:rPr>
      </w:pPr>
      <w:r>
        <w:rPr>
          <w:rFonts w:ascii="Microsoft Sans Serif" w:hAnsi="Microsoft Sans Serif" w:cs="Microsoft Sans Serif"/>
          <w:sz w:val="20"/>
          <w:szCs w:val="20"/>
        </w:rPr>
        <w:br w:type="page"/>
      </w:r>
    </w:p>
    <w:p w14:paraId="25A6B978" w14:textId="77777777" w:rsidR="002902FD" w:rsidRPr="00366AA4" w:rsidRDefault="002902FD" w:rsidP="00040A08">
      <w:pPr>
        <w:spacing w:line="276" w:lineRule="auto"/>
        <w:rPr>
          <w:rFonts w:ascii="Arial" w:hAnsi="Arial" w:cs="Arial"/>
          <w:sz w:val="20"/>
          <w:szCs w:val="20"/>
        </w:rPr>
      </w:pPr>
      <w:r w:rsidRPr="00366AA4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55162AC" wp14:editId="0E4327BF">
            <wp:extent cx="5943590" cy="2496750"/>
            <wp:effectExtent l="0" t="0" r="635" b="5715"/>
            <wp:docPr id="13" name="Picture 1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box and whisker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590" cy="24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0318" w14:textId="615CDACE" w:rsidR="002902FD" w:rsidRPr="00DD4A4D" w:rsidRDefault="002902FD" w:rsidP="00040A08">
      <w:pPr>
        <w:spacing w:line="276" w:lineRule="auto"/>
        <w:rPr>
          <w:rFonts w:ascii="Microsoft Sans Serif" w:hAnsi="Microsoft Sans Serif" w:cs="Microsoft Sans Serif"/>
          <w:b/>
          <w:bCs/>
          <w:sz w:val="20"/>
          <w:szCs w:val="20"/>
        </w:rPr>
      </w:pPr>
      <w:r w:rsidRPr="004936A1"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/>
          <w:b/>
          <w:bCs/>
          <w:sz w:val="20"/>
          <w:szCs w:val="20"/>
        </w:rPr>
        <w:t>13</w:t>
      </w:r>
      <w:r w:rsidRPr="00D46121">
        <w:rPr>
          <w:rFonts w:ascii="Arial" w:hAnsi="Arial" w:cs="Arial"/>
          <w:b/>
          <w:bCs/>
          <w:sz w:val="20"/>
          <w:szCs w:val="20"/>
        </w:rPr>
        <w:t xml:space="preserve">. Specificity of different ways of using the LI Detector. </w:t>
      </w:r>
      <w:r w:rsidRPr="00D46121">
        <w:rPr>
          <w:rFonts w:ascii="Arial" w:hAnsi="Arial" w:cs="Arial"/>
          <w:sz w:val="20"/>
          <w:szCs w:val="20"/>
        </w:rPr>
        <w:t xml:space="preserve">Condition negative dataset used to measure the change in specificity with </w:t>
      </w:r>
      <w:r>
        <w:rPr>
          <w:rFonts w:ascii="Arial" w:hAnsi="Arial" w:cs="Arial"/>
          <w:b/>
          <w:bCs/>
          <w:sz w:val="20"/>
          <w:szCs w:val="20"/>
        </w:rPr>
        <w:t>A</w:t>
      </w:r>
      <w:r w:rsidRPr="00D46121">
        <w:rPr>
          <w:rFonts w:ascii="Arial" w:hAnsi="Arial" w:cs="Arial"/>
          <w:b/>
          <w:bCs/>
          <w:sz w:val="20"/>
          <w:szCs w:val="20"/>
        </w:rPr>
        <w:t xml:space="preserve">. </w:t>
      </w:r>
      <w:r w:rsidRPr="00D46121">
        <w:rPr>
          <w:rFonts w:ascii="Arial" w:hAnsi="Arial" w:cs="Arial"/>
          <w:sz w:val="20"/>
          <w:szCs w:val="20"/>
        </w:rPr>
        <w:t xml:space="preserve">different </w:t>
      </w:r>
      <w:r w:rsidRPr="00744D2F">
        <w:rPr>
          <w:rFonts w:ascii="Microsoft Sans Serif" w:hAnsi="Microsoft Sans Serif" w:cs="Microsoft Sans Serif"/>
          <w:sz w:val="20"/>
          <w:szCs w:val="20"/>
        </w:rPr>
        <w:t>strategies for fitness estimation</w:t>
      </w:r>
      <w:r w:rsidDel="005E0D14">
        <w:rPr>
          <w:rFonts w:ascii="Arial" w:hAnsi="Arial" w:cs="Arial"/>
          <w:sz w:val="20"/>
          <w:szCs w:val="20"/>
        </w:rPr>
        <w:t xml:space="preserve"> </w:t>
      </w:r>
      <w:r w:rsidRPr="00015E35">
        <w:rPr>
          <w:rFonts w:ascii="Arial" w:hAnsi="Arial" w:cs="Arial"/>
          <w:sz w:val="20"/>
          <w:szCs w:val="20"/>
        </w:rPr>
        <w:t>(</w:t>
      </w:r>
      <w:r w:rsidRPr="000B11C2">
        <w:rPr>
          <w:rFonts w:ascii="Arial" w:hAnsi="Arial" w:cs="Arial"/>
          <w:sz w:val="20"/>
          <w:szCs w:val="20"/>
        </w:rPr>
        <w:t>see Materials and Methods</w:t>
      </w:r>
      <w:r w:rsidRPr="00015E35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consisting of </w:t>
      </w:r>
      <w:r w:rsidRPr="0091629C">
        <w:rPr>
          <w:rFonts w:ascii="Arial" w:hAnsi="Arial" w:cs="Arial"/>
          <w:sz w:val="20"/>
          <w:szCs w:val="20"/>
        </w:rPr>
        <w:t>LI Detector (LID), LI Detector without local artifact correction (LID-AC), LI Detector without source normalization (LID-SN)</w:t>
      </w:r>
      <w:r>
        <w:rPr>
          <w:rFonts w:ascii="Arial" w:hAnsi="Arial" w:cs="Arial"/>
          <w:sz w:val="20"/>
          <w:szCs w:val="20"/>
        </w:rPr>
        <w:t>,</w:t>
      </w:r>
      <w:r w:rsidRPr="0091629C">
        <w:rPr>
          <w:rFonts w:ascii="Arial" w:hAnsi="Arial" w:cs="Arial"/>
          <w:sz w:val="20"/>
          <w:szCs w:val="20"/>
        </w:rPr>
        <w:t xml:space="preserve"> and no normalization (NO-NORM)</w:t>
      </w:r>
      <w:r>
        <w:rPr>
          <w:rFonts w:ascii="Arial" w:hAnsi="Arial" w:cs="Arial"/>
          <w:sz w:val="20"/>
          <w:szCs w:val="20"/>
        </w:rPr>
        <w:t>,</w:t>
      </w:r>
      <w:r w:rsidRPr="00D46121">
        <w:rPr>
          <w:rFonts w:ascii="Arial" w:hAnsi="Arial" w:cs="Arial"/>
          <w:sz w:val="20"/>
          <w:szCs w:val="20"/>
        </w:rPr>
        <w:t xml:space="preserve"> where boxplots show pooled specificity results from all time </w:t>
      </w:r>
      <w:proofErr w:type="gramStart"/>
      <w:r w:rsidRPr="00D46121">
        <w:rPr>
          <w:rFonts w:ascii="Arial" w:hAnsi="Arial" w:cs="Arial"/>
          <w:sz w:val="20"/>
          <w:szCs w:val="20"/>
        </w:rPr>
        <w:t>points;</w:t>
      </w:r>
      <w:proofErr w:type="gramEnd"/>
      <w:r w:rsidRPr="00D46121">
        <w:rPr>
          <w:rFonts w:ascii="Arial" w:hAnsi="Arial" w:cs="Arial"/>
          <w:sz w:val="20"/>
          <w:szCs w:val="20"/>
        </w:rPr>
        <w:t xml:space="preserve"> and </w:t>
      </w:r>
      <w:r>
        <w:rPr>
          <w:rFonts w:ascii="Arial" w:hAnsi="Arial" w:cs="Arial"/>
          <w:b/>
          <w:bCs/>
          <w:sz w:val="20"/>
          <w:szCs w:val="20"/>
        </w:rPr>
        <w:t>B</w:t>
      </w:r>
      <w:r w:rsidRPr="00D46121">
        <w:rPr>
          <w:rFonts w:ascii="Arial" w:hAnsi="Arial" w:cs="Arial"/>
          <w:b/>
          <w:bCs/>
          <w:sz w:val="20"/>
          <w:szCs w:val="20"/>
        </w:rPr>
        <w:t xml:space="preserve">. </w:t>
      </w:r>
      <w:r w:rsidRPr="00D46121">
        <w:rPr>
          <w:rFonts w:ascii="Arial" w:hAnsi="Arial" w:cs="Arial"/>
          <w:sz w:val="20"/>
          <w:szCs w:val="20"/>
        </w:rPr>
        <w:t>number of replicates for mutant and proportion of references per plate</w:t>
      </w:r>
      <w:r>
        <w:rPr>
          <w:rFonts w:ascii="Arial" w:hAnsi="Arial" w:cs="Arial"/>
          <w:sz w:val="20"/>
          <w:szCs w:val="20"/>
        </w:rPr>
        <w:t>.</w:t>
      </w:r>
    </w:p>
    <w:p w14:paraId="2BBD525E" w14:textId="77777777" w:rsidR="005C3EA3" w:rsidRPr="007862CA" w:rsidRDefault="005C3EA3" w:rsidP="00040A08">
      <w:pPr>
        <w:spacing w:line="276" w:lineRule="auto"/>
        <w:rPr>
          <w:rFonts w:ascii="Microsoft Sans Serif" w:hAnsi="Microsoft Sans Serif" w:cs="Microsoft Sans Serif"/>
          <w:b/>
          <w:bCs/>
          <w:sz w:val="20"/>
          <w:szCs w:val="20"/>
        </w:rPr>
      </w:pPr>
    </w:p>
    <w:p w14:paraId="3E14F0F6" w14:textId="77777777" w:rsidR="005C3EA3" w:rsidRDefault="005C3EA3" w:rsidP="00040A08">
      <w:pPr>
        <w:spacing w:line="480" w:lineRule="auto"/>
        <w:rPr>
          <w:rFonts w:ascii="Arial" w:hAnsi="Arial" w:cs="Arial"/>
          <w:sz w:val="20"/>
          <w:szCs w:val="20"/>
        </w:rPr>
      </w:pPr>
    </w:p>
    <w:p w14:paraId="4C410DCE" w14:textId="77777777" w:rsidR="005C3EA3" w:rsidRDefault="005C3EA3" w:rsidP="00040A08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</w:p>
    <w:p w14:paraId="76BB6D8D" w14:textId="77777777" w:rsidR="005C3EA3" w:rsidRPr="00E461F5" w:rsidRDefault="005C3EA3" w:rsidP="00040A08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br w:type="page"/>
      </w:r>
    </w:p>
    <w:p w14:paraId="0F66B2A3" w14:textId="77777777" w:rsidR="005C3EA3" w:rsidRPr="00366AA4" w:rsidRDefault="005C3EA3" w:rsidP="00040A08">
      <w:pPr>
        <w:rPr>
          <w:rFonts w:ascii="Arial" w:hAnsi="Arial" w:cs="Arial"/>
          <w:sz w:val="22"/>
          <w:szCs w:val="22"/>
        </w:rPr>
      </w:pPr>
      <w:r w:rsidRPr="00366AA4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0F94E02" wp14:editId="673264D0">
            <wp:extent cx="5943600" cy="5943600"/>
            <wp:effectExtent l="0" t="0" r="0" b="0"/>
            <wp:docPr id="7" name="Picture 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C6CB" w14:textId="77777777" w:rsidR="005C3EA3" w:rsidRPr="00D46121" w:rsidRDefault="005C3EA3" w:rsidP="00040A08">
      <w:pPr>
        <w:rPr>
          <w:rFonts w:ascii="Arial" w:hAnsi="Arial" w:cs="Arial"/>
          <w:sz w:val="22"/>
          <w:szCs w:val="22"/>
        </w:rPr>
      </w:pPr>
    </w:p>
    <w:p w14:paraId="30DA40B3" w14:textId="3E7F5BDD" w:rsidR="005C3EA3" w:rsidRPr="007862CA" w:rsidRDefault="005C3EA3" w:rsidP="00040A08">
      <w:pPr>
        <w:rPr>
          <w:rFonts w:ascii="Microsoft Sans Serif" w:hAnsi="Microsoft Sans Serif" w:cs="Microsoft Sans Serif"/>
          <w:color w:val="000000" w:themeColor="text1"/>
          <w:sz w:val="20"/>
          <w:szCs w:val="20"/>
        </w:rPr>
      </w:pPr>
      <w:r w:rsidRPr="007862CA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Figure S</w:t>
      </w:r>
      <w:r w:rsidR="00040A08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14</w:t>
      </w:r>
      <w:r w:rsidRPr="007862CA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. Sensitivity is directly related to the number of references and replicates. 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A</w:t>
      </w:r>
      <w:r w:rsidRPr="007862CA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 xml:space="preserve">. 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>Sensitivity for observing 7% fitness effects, as a function of the varying proportion of references per plate (individual panels) and the number of replicates per strain (x-axis) was estimated for virtual plates with bimodal (purple) and random (orange) colony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size distribution. Error bars represent a single standard deviation. </w:t>
      </w:r>
      <w:r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B</w:t>
      </w:r>
      <w:r w:rsidRPr="007862CA">
        <w:rPr>
          <w:rFonts w:ascii="Microsoft Sans Serif" w:hAnsi="Microsoft Sans Serif" w:cs="Microsoft Sans Serif"/>
          <w:b/>
          <w:bCs/>
          <w:color w:val="000000" w:themeColor="text1"/>
          <w:sz w:val="20"/>
          <w:szCs w:val="20"/>
        </w:rPr>
        <w:t>.</w:t>
      </w:r>
      <w:r w:rsidRPr="007862CA">
        <w:rPr>
          <w:rFonts w:ascii="Microsoft Sans Serif" w:hAnsi="Microsoft Sans Serif" w:cs="Microsoft Sans Serif"/>
          <w:sz w:val="22"/>
          <w:szCs w:val="22"/>
        </w:rPr>
        <w:t xml:space="preserve"> 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>Phenotype classification results from the virtual plates with random colony</w:t>
      </w:r>
      <w:r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</w:t>
      </w:r>
      <w:r w:rsidRPr="007862CA">
        <w:rPr>
          <w:rFonts w:ascii="Microsoft Sans Serif" w:hAnsi="Microsoft Sans Serif" w:cs="Microsoft Sans Serif"/>
          <w:color w:val="000000" w:themeColor="text1"/>
          <w:sz w:val="20"/>
          <w:szCs w:val="20"/>
        </w:rPr>
        <w:t>size distributions at a false positive rate of 5% are arranged according to increasing fitness effects. The dotted red line indicates a 5% fitness effect. Panels are arranged according to the increasing proportion of references per plate (top to bottom) and replicates per strain (left to right).</w:t>
      </w:r>
    </w:p>
    <w:p w14:paraId="3FF0DCAF" w14:textId="77777777" w:rsidR="005C3EA3" w:rsidRPr="00D46121" w:rsidRDefault="005C3EA3" w:rsidP="00040A0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64EEE42" w14:textId="77777777" w:rsidR="005C3EA3" w:rsidRPr="00D46121" w:rsidRDefault="005C3EA3" w:rsidP="00040A0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D7F4794" w14:textId="221D5674" w:rsidR="00391661" w:rsidRPr="00391661" w:rsidRDefault="00391661" w:rsidP="00391661">
      <w:pPr>
        <w:rPr>
          <w:rFonts w:ascii="Times New Roman" w:eastAsia="Times New Roman" w:hAnsi="Times New Roman" w:cs="Times New Roman"/>
        </w:rPr>
      </w:pPr>
      <w:r w:rsidRPr="00391661">
        <w:rPr>
          <w:rFonts w:ascii="Times New Roman" w:eastAsia="Times New Roman" w:hAnsi="Times New Roman" w:cs="Times New Roman"/>
        </w:rPr>
        <w:lastRenderedPageBreak/>
        <w:fldChar w:fldCharType="begin"/>
      </w:r>
      <w:r w:rsidRPr="00391661">
        <w:rPr>
          <w:rFonts w:ascii="Times New Roman" w:eastAsia="Times New Roman" w:hAnsi="Times New Roman" w:cs="Times New Roman"/>
        </w:rPr>
        <w:instrText xml:space="preserve"> INCLUDEPICTURE "/var/folders/lw/rgln_s1j6f11mynx2s3dwsb40000gp/T/com.microsoft.Word/WebArchiveCopyPasteTempFiles/FIGURE_S8.jpg" \* MERGEFORMATINET </w:instrText>
      </w:r>
      <w:r w:rsidRPr="00391661">
        <w:rPr>
          <w:rFonts w:ascii="Times New Roman" w:eastAsia="Times New Roman" w:hAnsi="Times New Roman" w:cs="Times New Roman"/>
        </w:rPr>
        <w:fldChar w:fldCharType="separate"/>
      </w:r>
      <w:r w:rsidRPr="0039166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6906BAB" wp14:editId="172DDF4D">
            <wp:extent cx="3200400" cy="2489200"/>
            <wp:effectExtent l="0" t="0" r="0" b="0"/>
            <wp:docPr id="9" name="Picture 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61">
        <w:rPr>
          <w:rFonts w:ascii="Times New Roman" w:eastAsia="Times New Roman" w:hAnsi="Times New Roman" w:cs="Times New Roman"/>
        </w:rPr>
        <w:fldChar w:fldCharType="end"/>
      </w:r>
    </w:p>
    <w:p w14:paraId="6D1714CB" w14:textId="55DC5654" w:rsidR="005C3EA3" w:rsidRPr="00366AA4" w:rsidRDefault="005C3EA3" w:rsidP="00040A08">
      <w:pPr>
        <w:spacing w:line="276" w:lineRule="auto"/>
        <w:rPr>
          <w:rFonts w:ascii="Arial" w:hAnsi="Arial" w:cs="Arial"/>
          <w:sz w:val="20"/>
          <w:szCs w:val="20"/>
        </w:rPr>
      </w:pPr>
    </w:p>
    <w:p w14:paraId="2985A024" w14:textId="71865C30" w:rsidR="00040A08" w:rsidRDefault="005C3EA3" w:rsidP="00040A08">
      <w:pPr>
        <w:spacing w:line="276" w:lineRule="auto"/>
        <w:rPr>
          <w:rFonts w:ascii="Microsoft Sans Serif" w:hAnsi="Microsoft Sans Serif" w:cs="Microsoft Sans Serif"/>
          <w:sz w:val="20"/>
          <w:szCs w:val="20"/>
        </w:rPr>
      </w:pP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>Figure S</w:t>
      </w:r>
      <w:r>
        <w:rPr>
          <w:rFonts w:ascii="Microsoft Sans Serif" w:hAnsi="Microsoft Sans Serif" w:cs="Microsoft Sans Serif"/>
          <w:b/>
          <w:bCs/>
          <w:sz w:val="20"/>
          <w:szCs w:val="20"/>
        </w:rPr>
        <w:t>1</w:t>
      </w:r>
      <w:r w:rsidR="00040A08">
        <w:rPr>
          <w:rFonts w:ascii="Microsoft Sans Serif" w:hAnsi="Microsoft Sans Serif" w:cs="Microsoft Sans Serif"/>
          <w:b/>
          <w:bCs/>
          <w:sz w:val="20"/>
          <w:szCs w:val="20"/>
        </w:rPr>
        <w:t>5</w:t>
      </w:r>
      <w:r w:rsidRPr="007862CA">
        <w:rPr>
          <w:rFonts w:ascii="Microsoft Sans Serif" w:hAnsi="Microsoft Sans Serif" w:cs="Microsoft Sans Serif"/>
          <w:b/>
          <w:bCs/>
          <w:sz w:val="20"/>
          <w:szCs w:val="20"/>
        </w:rPr>
        <w:t xml:space="preserve">. Effect on RMSE due to the proportion of references. </w:t>
      </w:r>
      <w:r w:rsidRPr="007862CA">
        <w:rPr>
          <w:rFonts w:ascii="Microsoft Sans Serif" w:hAnsi="Microsoft Sans Serif" w:cs="Microsoft Sans Serif"/>
          <w:sz w:val="20"/>
          <w:szCs w:val="20"/>
        </w:rPr>
        <w:t xml:space="preserve">The root </w:t>
      </w:r>
      <w:proofErr w:type="gramStart"/>
      <w:r w:rsidRPr="007862CA">
        <w:rPr>
          <w:rFonts w:ascii="Microsoft Sans Serif" w:hAnsi="Microsoft Sans Serif" w:cs="Microsoft Sans Serif"/>
          <w:sz w:val="20"/>
          <w:szCs w:val="20"/>
        </w:rPr>
        <w:t>mean</w:t>
      </w:r>
      <w:proofErr w:type="gramEnd"/>
      <w:r w:rsidRPr="007862CA">
        <w:rPr>
          <w:rFonts w:ascii="Microsoft Sans Serif" w:hAnsi="Microsoft Sans Serif" w:cs="Microsoft Sans Serif"/>
          <w:sz w:val="20"/>
          <w:szCs w:val="20"/>
        </w:rPr>
        <w:t xml:space="preserve"> square error percentage (RMSE%) for different proportions of references (colors) per time point </w:t>
      </w:r>
      <w:r>
        <w:rPr>
          <w:rFonts w:ascii="Microsoft Sans Serif" w:hAnsi="Microsoft Sans Serif" w:cs="Microsoft Sans Serif"/>
          <w:sz w:val="20"/>
          <w:szCs w:val="20"/>
        </w:rPr>
        <w:t xml:space="preserve">was </w:t>
      </w:r>
      <w:r w:rsidRPr="007862CA">
        <w:rPr>
          <w:rFonts w:ascii="Microsoft Sans Serif" w:hAnsi="Microsoft Sans Serif" w:cs="Microsoft Sans Serif"/>
          <w:sz w:val="20"/>
          <w:szCs w:val="20"/>
        </w:rPr>
        <w:t>used as a measure of the accuracy of LI Detector's reference-based background colony size. RMSE% decreases as colonies reach saturation and with an increasing proportion of references.</w:t>
      </w:r>
    </w:p>
    <w:p w14:paraId="0690D58D" w14:textId="3F018F27" w:rsidR="00163D87" w:rsidRDefault="00163D87">
      <w:pPr>
        <w:rPr>
          <w:rFonts w:ascii="Microsoft Sans Serif" w:hAnsi="Microsoft Sans Serif" w:cs="Microsoft Sans Serif"/>
          <w:sz w:val="20"/>
          <w:szCs w:val="20"/>
        </w:rPr>
      </w:pPr>
    </w:p>
    <w:p w14:paraId="39DD8E9B" w14:textId="03B49612" w:rsidR="00040A08" w:rsidRDefault="00040A08">
      <w:pPr>
        <w:rPr>
          <w:rFonts w:ascii="Microsoft Sans Serif" w:hAnsi="Microsoft Sans Serif" w:cs="Microsoft Sans Serif"/>
          <w:sz w:val="20"/>
          <w:szCs w:val="20"/>
        </w:rPr>
      </w:pPr>
    </w:p>
    <w:p w14:paraId="67748459" w14:textId="77777777" w:rsidR="00040A08" w:rsidRDefault="00040A08">
      <w:pPr>
        <w:rPr>
          <w:rFonts w:ascii="Microsoft Sans Serif" w:hAnsi="Microsoft Sans Serif" w:cs="Microsoft Sans Serif"/>
          <w:sz w:val="20"/>
          <w:szCs w:val="20"/>
        </w:rPr>
      </w:pPr>
      <w:r>
        <w:rPr>
          <w:rFonts w:ascii="Microsoft Sans Serif" w:hAnsi="Microsoft Sans Serif" w:cs="Microsoft Sans Serif"/>
          <w:sz w:val="20"/>
          <w:szCs w:val="20"/>
        </w:rPr>
        <w:br w:type="page"/>
      </w:r>
    </w:p>
    <w:p w14:paraId="41EDE823" w14:textId="7ED90A7E" w:rsidR="00040A08" w:rsidRDefault="00040A08" w:rsidP="00040A08">
      <w:pPr>
        <w:jc w:val="center"/>
        <w:rPr>
          <w:rFonts w:ascii="Microsoft Sans Serif" w:hAnsi="Microsoft Sans Serif" w:cs="Microsoft Sans Serif"/>
          <w:sz w:val="20"/>
          <w:szCs w:val="20"/>
        </w:rPr>
      </w:pPr>
      <w:r>
        <w:rPr>
          <w:rFonts w:ascii="Microsoft Sans Serif" w:hAnsi="Microsoft Sans Serif" w:cs="Microsoft Sans Serif"/>
          <w:sz w:val="20"/>
          <w:szCs w:val="20"/>
        </w:rPr>
        <w:lastRenderedPageBreak/>
        <w:t>REFERENCES</w:t>
      </w:r>
    </w:p>
    <w:p w14:paraId="2CC0E334" w14:textId="77777777" w:rsidR="00040A08" w:rsidRPr="00040A08" w:rsidRDefault="00040A08">
      <w:pPr>
        <w:rPr>
          <w:rFonts w:ascii="Microsoft Sans Serif" w:hAnsi="Microsoft Sans Serif" w:cs="Microsoft Sans Serif"/>
          <w:sz w:val="20"/>
          <w:szCs w:val="20"/>
        </w:rPr>
      </w:pPr>
    </w:p>
    <w:p w14:paraId="56073BC5" w14:textId="77777777" w:rsidR="003D1556" w:rsidRPr="003D1556" w:rsidRDefault="00163D87" w:rsidP="003D1556">
      <w:pPr>
        <w:pStyle w:val="EndNoteBibliography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3D1556" w:rsidRPr="003D1556">
        <w:rPr>
          <w:noProof/>
        </w:rPr>
        <w:t>Bean GJ, Jaeger PA, Bahr S, Ideker T. 2014. Development of ultra-high-density screening tools for microbial "omics". PLoS One. 9(1):e85177.</w:t>
      </w:r>
    </w:p>
    <w:p w14:paraId="12587AB1" w14:textId="77777777" w:rsidR="003D1556" w:rsidRPr="003D1556" w:rsidRDefault="003D1556" w:rsidP="003D1556">
      <w:pPr>
        <w:pStyle w:val="EndNoteBibliography"/>
        <w:ind w:left="720" w:hanging="720"/>
        <w:rPr>
          <w:noProof/>
        </w:rPr>
      </w:pPr>
      <w:r w:rsidRPr="003D1556">
        <w:rPr>
          <w:noProof/>
        </w:rPr>
        <w:t>Kruskal WH, Wallis WA. 1952. Use of ranks in one-criterion variance analysis. Journal of the American Statistical Association. 47(260):583-621.</w:t>
      </w:r>
    </w:p>
    <w:p w14:paraId="0A16C6B8" w14:textId="77777777" w:rsidR="003D1556" w:rsidRPr="003D1556" w:rsidRDefault="003D1556" w:rsidP="003D1556">
      <w:pPr>
        <w:pStyle w:val="EndNoteBibliography"/>
        <w:ind w:left="720" w:hanging="720"/>
        <w:rPr>
          <w:noProof/>
        </w:rPr>
      </w:pPr>
      <w:r w:rsidRPr="003D1556">
        <w:rPr>
          <w:noProof/>
        </w:rPr>
        <w:t>Mann HB, Whitney DR. 1947. On a test of whether one of two random variables is stochastically larger than the other. The Annals of Mathematical Statistics. 18(1):50-60.</w:t>
      </w:r>
    </w:p>
    <w:p w14:paraId="79421775" w14:textId="77777777" w:rsidR="003D1556" w:rsidRPr="003D1556" w:rsidRDefault="003D1556" w:rsidP="003D1556">
      <w:pPr>
        <w:pStyle w:val="EndNoteBibliography"/>
        <w:ind w:left="720" w:hanging="720"/>
        <w:rPr>
          <w:noProof/>
        </w:rPr>
      </w:pPr>
      <w:r w:rsidRPr="003D1556">
        <w:rPr>
          <w:noProof/>
        </w:rPr>
        <w:t>Storey JD. 2002. A direct approach to false discovery rates. J R Stat Soc B. 64:479-498.</w:t>
      </w:r>
    </w:p>
    <w:p w14:paraId="278A9A47" w14:textId="77777777" w:rsidR="003D1556" w:rsidRPr="003D1556" w:rsidRDefault="003D1556" w:rsidP="003D1556">
      <w:pPr>
        <w:pStyle w:val="EndNoteBibliography"/>
        <w:ind w:left="720" w:hanging="720"/>
        <w:rPr>
          <w:noProof/>
        </w:rPr>
      </w:pPr>
      <w:r w:rsidRPr="003D1556">
        <w:rPr>
          <w:noProof/>
        </w:rPr>
        <w:t>Wilcoxon F. 1946. Individual comparisons of grouped data by ranking methods. J Econ Entomol. 39:269.</w:t>
      </w:r>
    </w:p>
    <w:p w14:paraId="200942A6" w14:textId="778AEBF2" w:rsidR="005C3EA3" w:rsidRDefault="00163D87">
      <w:r>
        <w:fldChar w:fldCharType="end"/>
      </w:r>
    </w:p>
    <w:sectPr w:rsidR="005C3EA3" w:rsidSect="005C3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crosoft Sans Serif">
    <w:altName w:val="﷽﷽﷽﷽﷽﷽﷽﷽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SE Style Manual 8th Edition N-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2xav2dzzvp5ddez223vpv22tw9d5dx2dxxv&quot;&gt;MyEndNoteLibrary2&lt;record-ids&gt;&lt;item&gt;14&lt;/item&gt;&lt;item&gt;1223&lt;/item&gt;&lt;item&gt;1227&lt;/item&gt;&lt;item&gt;1316&lt;/item&gt;&lt;item&gt;1321&lt;/item&gt;&lt;/record-ids&gt;&lt;/item&gt;&lt;/Libraries&gt;"/>
  </w:docVars>
  <w:rsids>
    <w:rsidRoot w:val="005C3EA3"/>
    <w:rsid w:val="00040A08"/>
    <w:rsid w:val="000B11C2"/>
    <w:rsid w:val="000F46C1"/>
    <w:rsid w:val="000F572C"/>
    <w:rsid w:val="00154D65"/>
    <w:rsid w:val="00163D87"/>
    <w:rsid w:val="002267CF"/>
    <w:rsid w:val="002902FD"/>
    <w:rsid w:val="002E65AA"/>
    <w:rsid w:val="002F7378"/>
    <w:rsid w:val="00391661"/>
    <w:rsid w:val="003D1556"/>
    <w:rsid w:val="004B7E7D"/>
    <w:rsid w:val="00572699"/>
    <w:rsid w:val="005A5D25"/>
    <w:rsid w:val="005C3EA3"/>
    <w:rsid w:val="006449CE"/>
    <w:rsid w:val="0066691D"/>
    <w:rsid w:val="006834E2"/>
    <w:rsid w:val="006A0E76"/>
    <w:rsid w:val="006C739D"/>
    <w:rsid w:val="00803FEA"/>
    <w:rsid w:val="00817BA7"/>
    <w:rsid w:val="00893D07"/>
    <w:rsid w:val="008D781A"/>
    <w:rsid w:val="00955918"/>
    <w:rsid w:val="009E2BD3"/>
    <w:rsid w:val="00A30F6F"/>
    <w:rsid w:val="00A87667"/>
    <w:rsid w:val="00BC2DA5"/>
    <w:rsid w:val="00BF1A21"/>
    <w:rsid w:val="00D10A58"/>
    <w:rsid w:val="00D155A1"/>
    <w:rsid w:val="00D42EA7"/>
    <w:rsid w:val="00D65F47"/>
    <w:rsid w:val="00D74856"/>
    <w:rsid w:val="00DD1FE1"/>
    <w:rsid w:val="00ED4655"/>
    <w:rsid w:val="00EE2634"/>
    <w:rsid w:val="00F27C20"/>
    <w:rsid w:val="00F459AA"/>
    <w:rsid w:val="00F65D82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E2E1C"/>
  <w15:chartTrackingRefBased/>
  <w15:docId w15:val="{420A7C3F-7CFF-CD42-A2A3-D7833A084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E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EA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EA3"/>
    <w:rPr>
      <w:rFonts w:ascii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163D87"/>
    <w:pPr>
      <w:jc w:val="center"/>
    </w:pPr>
    <w:rPr>
      <w:rFonts w:ascii="Calibri" w:hAnsi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63D87"/>
    <w:rPr>
      <w:rFonts w:ascii="Calibri" w:hAnsi="Calibri"/>
    </w:rPr>
  </w:style>
  <w:style w:type="paragraph" w:customStyle="1" w:styleId="EndNoteBibliography">
    <w:name w:val="EndNote Bibliography"/>
    <w:basedOn w:val="Normal"/>
    <w:link w:val="EndNoteBibliographyChar"/>
    <w:rsid w:val="00163D87"/>
    <w:rPr>
      <w:rFonts w:ascii="Calibri" w:hAnsi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163D8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3065</Words>
  <Characters>16125</Characters>
  <Application>Microsoft Office Word</Application>
  <DocSecurity>0</DocSecurity>
  <Lines>310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Parikh, Saurin</dc:creator>
  <cp:keywords/>
  <dc:description/>
  <cp:lastModifiedBy>Parikh, Saurin</cp:lastModifiedBy>
  <cp:revision>6</cp:revision>
  <dcterms:created xsi:type="dcterms:W3CDTF">2020-12-10T21:11:00Z</dcterms:created>
  <dcterms:modified xsi:type="dcterms:W3CDTF">2020-12-14T14:34:00Z</dcterms:modified>
</cp:coreProperties>
</file>