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E8C6D" w14:textId="77777777" w:rsidR="00E67096" w:rsidRPr="005F0B00" w:rsidRDefault="005B5A31" w:rsidP="005F0B00">
      <w:pPr>
        <w:spacing w:line="360" w:lineRule="auto"/>
        <w:jc w:val="both"/>
        <w:rPr>
          <w:rFonts w:ascii="Arial" w:hAnsi="Arial" w:cs="Arial"/>
          <w:b/>
        </w:rPr>
      </w:pPr>
      <w:r w:rsidRPr="005F0B00">
        <w:rPr>
          <w:rFonts w:ascii="Arial" w:hAnsi="Arial" w:cs="Arial"/>
          <w:b/>
        </w:rPr>
        <w:t>Supplemental Note</w:t>
      </w:r>
      <w:bookmarkStart w:id="0" w:name="_GoBack"/>
      <w:bookmarkEnd w:id="0"/>
    </w:p>
    <w:p w14:paraId="7CBDF51B" w14:textId="77777777" w:rsidR="005B5A31" w:rsidRPr="005B5A31" w:rsidRDefault="005B5A31" w:rsidP="005F0B00">
      <w:pPr>
        <w:spacing w:line="360" w:lineRule="auto"/>
        <w:jc w:val="both"/>
        <w:rPr>
          <w:rFonts w:ascii="Arial" w:hAnsi="Arial" w:cs="Arial"/>
        </w:rPr>
      </w:pPr>
    </w:p>
    <w:p w14:paraId="2A797AA6" w14:textId="11547F59" w:rsidR="005F0B00" w:rsidRDefault="005B5A31" w:rsidP="005F0B00">
      <w:pPr>
        <w:spacing w:line="360" w:lineRule="auto"/>
        <w:ind w:firstLine="360"/>
        <w:jc w:val="both"/>
        <w:rPr>
          <w:rFonts w:ascii="Arial" w:hAnsi="Arial" w:cs="Arial"/>
        </w:rPr>
      </w:pPr>
      <w:r w:rsidRPr="005B5A31">
        <w:rPr>
          <w:rFonts w:ascii="Arial" w:hAnsi="Arial" w:cs="Arial"/>
        </w:rPr>
        <w:t xml:space="preserve">The </w:t>
      </w:r>
      <w:proofErr w:type="spellStart"/>
      <w:r w:rsidRPr="005B5A31">
        <w:rPr>
          <w:rFonts w:ascii="Arial" w:hAnsi="Arial" w:cs="Arial"/>
        </w:rPr>
        <w:t>OMGenSV</w:t>
      </w:r>
      <w:proofErr w:type="spellEnd"/>
      <w:r w:rsidRPr="005B5A31">
        <w:rPr>
          <w:rFonts w:ascii="Arial" w:hAnsi="Arial" w:cs="Arial"/>
        </w:rPr>
        <w:t xml:space="preserve"> pipeline uses </w:t>
      </w:r>
      <w:r>
        <w:rPr>
          <w:rFonts w:ascii="Arial" w:hAnsi="Arial" w:cs="Arial"/>
        </w:rPr>
        <w:t xml:space="preserve">single molecules for genotyping because of observations that the Bionano </w:t>
      </w:r>
      <w:r>
        <w:rPr>
          <w:rFonts w:ascii="Arial" w:hAnsi="Arial" w:cs="Arial"/>
          <w:i/>
        </w:rPr>
        <w:t xml:space="preserve">de novo </w:t>
      </w:r>
      <w:r>
        <w:rPr>
          <w:rFonts w:ascii="Arial" w:hAnsi="Arial" w:cs="Arial"/>
        </w:rPr>
        <w:t xml:space="preserve">assembly pipeline is highly error-prone at loci with segmental duplications. To </w:t>
      </w:r>
      <w:r w:rsidR="00F30C86">
        <w:rPr>
          <w:rFonts w:ascii="Arial" w:hAnsi="Arial" w:cs="Arial"/>
        </w:rPr>
        <w:t>quantify</w:t>
      </w:r>
      <w:r>
        <w:rPr>
          <w:rFonts w:ascii="Arial" w:hAnsi="Arial" w:cs="Arial"/>
        </w:rPr>
        <w:t xml:space="preserve"> the difference between single-molecule-based genotyping and</w:t>
      </w:r>
      <w:r w:rsidR="00B143D3">
        <w:rPr>
          <w:rFonts w:ascii="Arial" w:hAnsi="Arial" w:cs="Arial"/>
        </w:rPr>
        <w:t xml:space="preserve"> </w:t>
      </w:r>
      <w:r w:rsidR="00B143D3">
        <w:rPr>
          <w:rFonts w:ascii="Arial" w:hAnsi="Arial" w:cs="Arial"/>
          <w:i/>
        </w:rPr>
        <w:t>de novo</w:t>
      </w:r>
      <w:r>
        <w:rPr>
          <w:rFonts w:ascii="Arial" w:hAnsi="Arial" w:cs="Arial"/>
        </w:rPr>
        <w:t xml:space="preserve"> assembled contigs, we </w:t>
      </w:r>
      <w:r w:rsidR="00564578">
        <w:rPr>
          <w:rFonts w:ascii="Arial" w:hAnsi="Arial" w:cs="Arial"/>
        </w:rPr>
        <w:t xml:space="preserve">used the 16p12 locus as a testbed and counted the </w:t>
      </w:r>
      <w:r>
        <w:rPr>
          <w:rFonts w:ascii="Arial" w:hAnsi="Arial" w:cs="Arial"/>
        </w:rPr>
        <w:t>configurations present in the assembled contigs from our 154-sample dataset (</w:t>
      </w:r>
      <w:r w:rsidR="00831DB4">
        <w:rPr>
          <w:rFonts w:ascii="Arial" w:hAnsi="Arial" w:cs="Arial"/>
        </w:rPr>
        <w:t>Figure S1</w:t>
      </w:r>
      <w:r>
        <w:rPr>
          <w:rFonts w:ascii="Arial" w:hAnsi="Arial" w:cs="Arial"/>
        </w:rPr>
        <w:t xml:space="preserve">). </w:t>
      </w:r>
      <w:r w:rsidR="00F30C86">
        <w:rPr>
          <w:rFonts w:ascii="Arial" w:hAnsi="Arial" w:cs="Arial"/>
        </w:rPr>
        <w:t xml:space="preserve">We </w:t>
      </w:r>
      <w:r w:rsidR="004E02DE">
        <w:rPr>
          <w:rFonts w:ascii="Arial" w:hAnsi="Arial" w:cs="Arial"/>
        </w:rPr>
        <w:t xml:space="preserve">detected configurations in the contigs </w:t>
      </w:r>
      <w:r w:rsidR="00413099">
        <w:rPr>
          <w:rFonts w:ascii="Arial" w:hAnsi="Arial" w:cs="Arial"/>
        </w:rPr>
        <w:t xml:space="preserve">by extracting </w:t>
      </w:r>
      <w:r w:rsidR="00F30C86">
        <w:rPr>
          <w:rFonts w:ascii="Arial" w:hAnsi="Arial" w:cs="Arial"/>
        </w:rPr>
        <w:t xml:space="preserve">local contigs from </w:t>
      </w:r>
      <w:r w:rsidR="00413099">
        <w:rPr>
          <w:rFonts w:ascii="Arial" w:hAnsi="Arial" w:cs="Arial"/>
        </w:rPr>
        <w:t xml:space="preserve">each sample and using </w:t>
      </w:r>
      <w:r w:rsidR="004E45D8">
        <w:rPr>
          <w:rFonts w:ascii="Arial" w:hAnsi="Arial" w:cs="Arial"/>
        </w:rPr>
        <w:t xml:space="preserve">them as input to the </w:t>
      </w:r>
      <w:proofErr w:type="spellStart"/>
      <w:r w:rsidR="004E45D8">
        <w:rPr>
          <w:rFonts w:ascii="Arial" w:hAnsi="Arial" w:cs="Arial"/>
        </w:rPr>
        <w:t>OMGenSV</w:t>
      </w:r>
      <w:proofErr w:type="spellEnd"/>
      <w:r w:rsidR="004E45D8">
        <w:rPr>
          <w:rFonts w:ascii="Arial" w:hAnsi="Arial" w:cs="Arial"/>
        </w:rPr>
        <w:t xml:space="preserve"> pipeline</w:t>
      </w:r>
      <w:r w:rsidR="00F043C2">
        <w:rPr>
          <w:rFonts w:ascii="Arial" w:hAnsi="Arial" w:cs="Arial"/>
        </w:rPr>
        <w:t xml:space="preserve">, </w:t>
      </w:r>
      <w:r w:rsidR="00413099">
        <w:rPr>
          <w:rFonts w:ascii="Arial" w:hAnsi="Arial" w:cs="Arial"/>
        </w:rPr>
        <w:t xml:space="preserve">treating the contigs as through they were molecules and </w:t>
      </w:r>
      <w:r w:rsidR="00F043C2">
        <w:rPr>
          <w:rFonts w:ascii="Arial" w:hAnsi="Arial" w:cs="Arial"/>
        </w:rPr>
        <w:t xml:space="preserve">following the approach described in Methods. </w:t>
      </w:r>
    </w:p>
    <w:p w14:paraId="1C29C368" w14:textId="77777777" w:rsidR="005F0B00" w:rsidRDefault="005F0B00" w:rsidP="005F0B00">
      <w:pPr>
        <w:spacing w:line="360" w:lineRule="auto"/>
        <w:jc w:val="both"/>
        <w:rPr>
          <w:rFonts w:ascii="Arial" w:hAnsi="Arial" w:cs="Arial"/>
        </w:rPr>
      </w:pPr>
    </w:p>
    <w:p w14:paraId="7E4AEAE8" w14:textId="045FDD79" w:rsidR="00864A56" w:rsidRDefault="00413099" w:rsidP="00864A56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The analysis showed striking differences in configuration prevalence between results obtained with single molecules and with contigs, despite using the same set</w:t>
      </w:r>
      <w:r w:rsidR="00E01228">
        <w:rPr>
          <w:rFonts w:ascii="Arial" w:hAnsi="Arial" w:cs="Arial"/>
        </w:rPr>
        <w:t xml:space="preserve"> of samples </w:t>
      </w:r>
      <w:r w:rsidR="000261BA">
        <w:rPr>
          <w:rFonts w:ascii="Arial" w:hAnsi="Arial" w:cs="Arial"/>
        </w:rPr>
        <w:t>for both (</w:t>
      </w:r>
      <w:r w:rsidR="00831DB4">
        <w:rPr>
          <w:rFonts w:ascii="Arial" w:hAnsi="Arial" w:cs="Arial"/>
        </w:rPr>
        <w:t>Figure S1</w:t>
      </w:r>
      <w:r w:rsidR="000261BA">
        <w:rPr>
          <w:rFonts w:ascii="Arial" w:hAnsi="Arial" w:cs="Arial"/>
        </w:rPr>
        <w:t xml:space="preserve">). In particular, configurations G1-3 and G3-3, which </w:t>
      </w:r>
      <w:r w:rsidR="00A04A53">
        <w:rPr>
          <w:rFonts w:ascii="Arial" w:hAnsi="Arial" w:cs="Arial"/>
        </w:rPr>
        <w:t>corresponded to</w:t>
      </w:r>
      <w:r w:rsidR="000261BA">
        <w:rPr>
          <w:rFonts w:ascii="Arial" w:hAnsi="Arial" w:cs="Arial"/>
        </w:rPr>
        <w:t xml:space="preserve"> the hg38 </w:t>
      </w:r>
      <w:r w:rsidR="00471D59">
        <w:rPr>
          <w:rFonts w:ascii="Arial" w:hAnsi="Arial" w:cs="Arial"/>
        </w:rPr>
        <w:t>structure</w:t>
      </w:r>
      <w:r w:rsidR="00A04A53">
        <w:rPr>
          <w:rFonts w:ascii="Arial" w:hAnsi="Arial" w:cs="Arial"/>
        </w:rPr>
        <w:t xml:space="preserve"> and, in the latter case, the S3 structure as well</w:t>
      </w:r>
      <w:r w:rsidR="000261BA">
        <w:rPr>
          <w:rFonts w:ascii="Arial" w:hAnsi="Arial" w:cs="Arial"/>
        </w:rPr>
        <w:t xml:space="preserve">, were overrepresented in the contigs &gt;10-fold compared to the single molecules. </w:t>
      </w:r>
      <w:r w:rsidR="00D53245">
        <w:rPr>
          <w:rFonts w:ascii="Arial" w:hAnsi="Arial" w:cs="Arial"/>
        </w:rPr>
        <w:t xml:space="preserve">The low single-molecule-based prevalence for these configurations </w:t>
      </w:r>
      <w:r w:rsidR="00A04A53" w:rsidRPr="00A04A53">
        <w:rPr>
          <w:rFonts w:ascii="Arial" w:hAnsi="Arial" w:cs="Arial"/>
        </w:rPr>
        <w:t xml:space="preserve">(2-3%) </w:t>
      </w:r>
      <w:r w:rsidR="00D53245">
        <w:rPr>
          <w:rFonts w:ascii="Arial" w:hAnsi="Arial" w:cs="Arial"/>
        </w:rPr>
        <w:t>is more concordant with previous publications, as the hg38 reference configuration was not observed in a FISH analysis</w:t>
      </w:r>
      <w:r w:rsidR="00A04A53">
        <w:rPr>
          <w:rFonts w:ascii="Arial" w:hAnsi="Arial" w:cs="Arial"/>
        </w:rPr>
        <w:t xml:space="preserve"> of 20 chromosomes </w:t>
      </w:r>
      <w:r w:rsidR="00A04A53">
        <w:rPr>
          <w:rFonts w:ascii="Arial" w:hAnsi="Arial" w:cs="Arial"/>
        </w:rPr>
        <w:fldChar w:fldCharType="begin" w:fldLock="1"/>
      </w:r>
      <w:r w:rsidR="00864A56">
        <w:rPr>
          <w:rFonts w:ascii="Arial" w:hAnsi="Arial" w:cs="Arial"/>
        </w:rPr>
        <w:instrText>ADDIN CSL_CITATION {"citationItems":[{"id":"ITEM-1","itemData":{"DOI":"10.1038/ng.643","ISSN":"1061-4036","abstract":"Evan Eichler and colleagues identify a large, complex structural polymorphism at 16p12.1 in a region previously associated with neurocognitive disease. They further show that the region has experienced dynamic structural evolution in primates and that disease-associated microdeletions arise on the more common human haplotype.","author":[{"dropping-particle":"","family":"Antonacci","given":"Francesca","non-dropping-particle":"","parse-names":false,"suffix":""},{"dropping-particle":"","family":"Kidd","given":"Jeffrey M","non-dropping-particle":"","parse-names":false,"suffix":""},{"dropping-particle":"","family":"Marques-Bonet","given":"Tomas","non-dropping-particle":"","parse-names":false,"suffix":""},{"dropping-particle":"","family":"Teague","given":"Brian","non-dropping-particle":"","parse-names":false,"suffix":""},{"dropping-particle":"","family":"Ventura","given":"Mario","non-dropping-particle":"","parse-names":false,"suffix":""},{"dropping-particle":"","family":"Girirajan","given":"Santhosh","non-dropping-particle":"","parse-names":false,"suffix":""},{"dropping-particle":"","family":"Alkan","given":"Can","non-dropping-particle":"","parse-names":false,"suffix":""},{"dropping-particle":"","family":"Campbell","given":"Catarina D","non-dropping-particle":"","parse-names":false,"suffix":""},{"dropping-particle":"","family":"Vives","given":"Laura","non-dropping-particle":"","parse-names":false,"suffix":""},{"dropping-particle":"","family":"Malig","given":"Maika","non-dropping-particle":"","parse-names":false,"suffix":""},{"dropping-particle":"","family":"Rosenfeld","given":"Jill A","non-dropping-particle":"","parse-names":false,"suffix":""},{"dropping-particle":"","family":"Ballif","given":"Blake C","non-dropping-particle":"","parse-names":false,"suffix":""},{"dropping-particle":"","family":"Shaffer","given":"Lisa G","non-dropping-particle":"","parse-names":false,"suffix":""},{"dropping-particle":"","family":"Graves","given":"Tina A","non-dropping-particle":"","parse-names":false,"suffix":""},{"dropping-particle":"","family":"Wilson","given":"Richard K","non-dropping-particle":"","parse-names":false,"suffix":""},{"dropping-particle":"","family":"Schwartz","given":"David C","non-dropping-particle":"","parse-names":false,"suffix":""},{"dropping-particle":"","family":"Eichler","given":"Evan E","non-dropping-particle":"","parse-names":false,"suffix":""}],"container-title":"Nature Genetics","id":"ITEM-1","issue":"9","issued":{"date-parts":[["2010","9","22"]]},"page":"745-750","publisher":"Nature Publishing Group","title":"A large and complex structural polymorphism at 16p12.1 underlies microdeletion disease risk","type":"article-journal","volume":"42"},"uris":["http://www.mendeley.com/documents/?uuid=77ef7349-375d-340e-b1bc-3267a341e99b"]}],"mendeley":{"formattedCitation":"(Antonacci &lt;i&gt;et al.&lt;/i&gt; 2010)","plainTextFormattedCitation":"(Antonacci et al. 2010)","previouslyFormattedCitation":"(Antonacci &lt;i&gt;et al.&lt;/i&gt; 2010)"},"properties":{"noteIndex":0},"schema":"https://github.com/citation-style-language/schema/raw/master/csl-citation.json"}</w:instrText>
      </w:r>
      <w:r w:rsidR="00A04A53">
        <w:rPr>
          <w:rFonts w:ascii="Arial" w:hAnsi="Arial" w:cs="Arial"/>
        </w:rPr>
        <w:fldChar w:fldCharType="separate"/>
      </w:r>
      <w:r w:rsidR="00A04A53" w:rsidRPr="00A04A53">
        <w:rPr>
          <w:rFonts w:ascii="Arial" w:hAnsi="Arial" w:cs="Arial"/>
          <w:noProof/>
        </w:rPr>
        <w:t xml:space="preserve">(Antonacci </w:t>
      </w:r>
      <w:r w:rsidR="00A04A53" w:rsidRPr="00A04A53">
        <w:rPr>
          <w:rFonts w:ascii="Arial" w:hAnsi="Arial" w:cs="Arial"/>
          <w:i/>
          <w:noProof/>
        </w:rPr>
        <w:t>et al.</w:t>
      </w:r>
      <w:r w:rsidR="00A04A53" w:rsidRPr="00A04A53">
        <w:rPr>
          <w:rFonts w:ascii="Arial" w:hAnsi="Arial" w:cs="Arial"/>
          <w:noProof/>
        </w:rPr>
        <w:t xml:space="preserve"> 2010)</w:t>
      </w:r>
      <w:r w:rsidR="00A04A53">
        <w:rPr>
          <w:rFonts w:ascii="Arial" w:hAnsi="Arial" w:cs="Arial"/>
        </w:rPr>
        <w:fldChar w:fldCharType="end"/>
      </w:r>
      <w:r w:rsidR="00427443">
        <w:rPr>
          <w:rFonts w:ascii="Arial" w:hAnsi="Arial" w:cs="Arial"/>
        </w:rPr>
        <w:t xml:space="preserve">; the FISH results </w:t>
      </w:r>
      <w:r w:rsidR="00AB6169">
        <w:rPr>
          <w:rFonts w:ascii="Arial" w:hAnsi="Arial" w:cs="Arial"/>
        </w:rPr>
        <w:t xml:space="preserve">would be highly unlikely </w:t>
      </w:r>
      <w:r w:rsidR="00427443">
        <w:rPr>
          <w:rFonts w:ascii="Arial" w:hAnsi="Arial" w:cs="Arial"/>
        </w:rPr>
        <w:t>if the</w:t>
      </w:r>
      <w:r w:rsidR="00AB6169">
        <w:rPr>
          <w:rFonts w:ascii="Arial" w:hAnsi="Arial" w:cs="Arial"/>
        </w:rPr>
        <w:t xml:space="preserve"> contig-based prevalence of 38% </w:t>
      </w:r>
      <w:r w:rsidR="00427443">
        <w:rPr>
          <w:rFonts w:ascii="Arial" w:hAnsi="Arial" w:cs="Arial"/>
        </w:rPr>
        <w:t xml:space="preserve">were </w:t>
      </w:r>
      <w:r w:rsidR="00E44AAB">
        <w:rPr>
          <w:rFonts w:ascii="Arial" w:hAnsi="Arial" w:cs="Arial"/>
        </w:rPr>
        <w:t>correct</w:t>
      </w:r>
      <w:r w:rsidR="00427443">
        <w:rPr>
          <w:rFonts w:ascii="Arial" w:hAnsi="Arial" w:cs="Arial"/>
        </w:rPr>
        <w:t xml:space="preserve"> </w:t>
      </w:r>
      <w:r w:rsidR="00AB6169">
        <w:rPr>
          <w:rFonts w:ascii="Arial" w:hAnsi="Arial" w:cs="Arial"/>
        </w:rPr>
        <w:t>(</w:t>
      </w:r>
      <w:r w:rsidR="00AB6169">
        <w:rPr>
          <w:rFonts w:ascii="Arial" w:hAnsi="Arial" w:cs="Arial"/>
          <w:i/>
        </w:rPr>
        <w:t xml:space="preserve">p </w:t>
      </w:r>
      <w:r w:rsidR="00AB6169">
        <w:rPr>
          <w:rFonts w:ascii="Arial" w:hAnsi="Arial" w:cs="Arial"/>
        </w:rPr>
        <w:t>&lt; 3</w:t>
      </w:r>
      <w:r w:rsidR="00BC7578">
        <w:rPr>
          <w:rFonts w:ascii="Arial" w:hAnsi="Arial" w:cs="Arial"/>
        </w:rPr>
        <w:t>x10</w:t>
      </w:r>
      <w:r w:rsidR="00AB6169" w:rsidRPr="00BC7578">
        <w:rPr>
          <w:rFonts w:ascii="Arial" w:hAnsi="Arial" w:cs="Arial"/>
          <w:vertAlign w:val="superscript"/>
        </w:rPr>
        <w:t>-4</w:t>
      </w:r>
      <w:r w:rsidR="00AB6169">
        <w:rPr>
          <w:rFonts w:ascii="Arial" w:hAnsi="Arial" w:cs="Arial"/>
        </w:rPr>
        <w:t>, Fisher’s exact test)</w:t>
      </w:r>
      <w:r w:rsidR="00D53245">
        <w:rPr>
          <w:rFonts w:ascii="Arial" w:hAnsi="Arial" w:cs="Arial"/>
        </w:rPr>
        <w:t xml:space="preserve">. It should be noted that </w:t>
      </w:r>
      <w:r w:rsidR="002C7E4F">
        <w:rPr>
          <w:rFonts w:ascii="Arial" w:hAnsi="Arial" w:cs="Arial"/>
        </w:rPr>
        <w:t xml:space="preserve">the genome reference is not used </w:t>
      </w:r>
      <w:r w:rsidR="00D53245">
        <w:rPr>
          <w:rFonts w:ascii="Arial" w:hAnsi="Arial" w:cs="Arial"/>
        </w:rPr>
        <w:t>to guide the</w:t>
      </w:r>
      <w:r w:rsidR="002C7E4F">
        <w:rPr>
          <w:rFonts w:ascii="Arial" w:hAnsi="Arial" w:cs="Arial"/>
        </w:rPr>
        <w:t xml:space="preserve"> </w:t>
      </w:r>
      <w:r w:rsidR="002C7E4F">
        <w:rPr>
          <w:rFonts w:ascii="Arial" w:hAnsi="Arial" w:cs="Arial"/>
          <w:i/>
        </w:rPr>
        <w:t>de novo</w:t>
      </w:r>
      <w:r w:rsidR="002C7E4F">
        <w:rPr>
          <w:rFonts w:ascii="Arial" w:hAnsi="Arial" w:cs="Arial"/>
        </w:rPr>
        <w:t xml:space="preserve"> assembly process, and it is unclear which factors bias the assembly </w:t>
      </w:r>
      <w:r w:rsidR="00D53245">
        <w:rPr>
          <w:rFonts w:ascii="Arial" w:hAnsi="Arial" w:cs="Arial"/>
        </w:rPr>
        <w:t xml:space="preserve">algorithm </w:t>
      </w:r>
      <w:r w:rsidR="002C7E4F">
        <w:rPr>
          <w:rFonts w:ascii="Arial" w:hAnsi="Arial" w:cs="Arial"/>
        </w:rPr>
        <w:t>towards certain configurations over others.</w:t>
      </w:r>
      <w:r w:rsidR="00C163F8">
        <w:rPr>
          <w:rFonts w:ascii="Arial" w:hAnsi="Arial" w:cs="Arial"/>
        </w:rPr>
        <w:t xml:space="preserve"> </w:t>
      </w:r>
    </w:p>
    <w:p w14:paraId="1D7373D6" w14:textId="77777777" w:rsidR="00864A56" w:rsidRDefault="00864A56" w:rsidP="00864A56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</w:rPr>
      </w:pPr>
    </w:p>
    <w:p w14:paraId="411A7DC5" w14:textId="77777777" w:rsidR="00463E64" w:rsidRDefault="00463E64" w:rsidP="00864A56">
      <w:pPr>
        <w:widowControl w:val="0"/>
        <w:autoSpaceDE w:val="0"/>
        <w:autoSpaceDN w:val="0"/>
        <w:adjustRightInd w:val="0"/>
        <w:spacing w:line="360" w:lineRule="auto"/>
        <w:ind w:left="480" w:hanging="480"/>
        <w:rPr>
          <w:rFonts w:ascii="Arial" w:hAnsi="Arial" w:cs="Arial"/>
        </w:rPr>
      </w:pPr>
    </w:p>
    <w:p w14:paraId="2CAE3046" w14:textId="1B22B481" w:rsidR="00864A56" w:rsidRPr="00864A56" w:rsidRDefault="00864A56" w:rsidP="00864A5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 w:fldLock="1"/>
      </w:r>
      <w:r>
        <w:rPr>
          <w:rFonts w:ascii="Arial" w:hAnsi="Arial" w:cs="Arial"/>
        </w:rPr>
        <w:instrText xml:space="preserve">ADDIN Mendeley Bibliography CSL_BIBLIOGRAPHY </w:instrText>
      </w:r>
      <w:r>
        <w:rPr>
          <w:rFonts w:ascii="Arial" w:hAnsi="Arial" w:cs="Arial"/>
        </w:rPr>
        <w:fldChar w:fldCharType="separate"/>
      </w:r>
      <w:r w:rsidRPr="00864A56">
        <w:rPr>
          <w:rFonts w:ascii="Arial" w:hAnsi="Arial" w:cs="Arial"/>
          <w:noProof/>
        </w:rPr>
        <w:t xml:space="preserve">Antonacci F., J. M. Kidd, T. Marques-Bonet, B. Teague, M. Ventura, </w:t>
      </w:r>
      <w:r w:rsidRPr="00864A56">
        <w:rPr>
          <w:rFonts w:ascii="Arial" w:hAnsi="Arial" w:cs="Arial"/>
          <w:i/>
          <w:iCs/>
          <w:noProof/>
        </w:rPr>
        <w:t>et al.</w:t>
      </w:r>
      <w:r w:rsidRPr="00864A56">
        <w:rPr>
          <w:rFonts w:ascii="Arial" w:hAnsi="Arial" w:cs="Arial"/>
          <w:noProof/>
        </w:rPr>
        <w:t>, 2010 A large and complex structural polymorphism at 16p12.1 underlies microdeletion disease risk. Nat. Genet. 42: 745–750. https://doi.org/10.1038/ng.643</w:t>
      </w:r>
    </w:p>
    <w:p w14:paraId="1E70FFE7" w14:textId="3DC58502" w:rsidR="005B5A31" w:rsidRPr="002C7E4F" w:rsidRDefault="00864A56" w:rsidP="005F0B00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5B5A31" w:rsidRPr="002C7E4F" w:rsidSect="00E67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1"/>
    <w:rsid w:val="000261BA"/>
    <w:rsid w:val="002320AF"/>
    <w:rsid w:val="002C7E4F"/>
    <w:rsid w:val="00386B85"/>
    <w:rsid w:val="00413099"/>
    <w:rsid w:val="00427443"/>
    <w:rsid w:val="00463E64"/>
    <w:rsid w:val="00471D59"/>
    <w:rsid w:val="004A6CD4"/>
    <w:rsid w:val="004E02DE"/>
    <w:rsid w:val="004E45D8"/>
    <w:rsid w:val="00564578"/>
    <w:rsid w:val="005B5A31"/>
    <w:rsid w:val="005F0B00"/>
    <w:rsid w:val="006E51B7"/>
    <w:rsid w:val="00831DB4"/>
    <w:rsid w:val="00864A56"/>
    <w:rsid w:val="00A04A53"/>
    <w:rsid w:val="00AB6169"/>
    <w:rsid w:val="00B143D3"/>
    <w:rsid w:val="00BC7578"/>
    <w:rsid w:val="00C163F8"/>
    <w:rsid w:val="00D53245"/>
    <w:rsid w:val="00E01228"/>
    <w:rsid w:val="00E24E33"/>
    <w:rsid w:val="00E44AAB"/>
    <w:rsid w:val="00E67096"/>
    <w:rsid w:val="00F043C2"/>
    <w:rsid w:val="00F3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4D9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4377</Characters>
  <Application>Microsoft Macintosh Word</Application>
  <DocSecurity>0</DocSecurity>
  <Lines>36</Lines>
  <Paragraphs>10</Paragraphs>
  <ScaleCrop>false</ScaleCrop>
  <Company>UCSF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Mostovoy</dc:creator>
  <cp:keywords/>
  <dc:description/>
  <cp:lastModifiedBy>Yulia Mostovoy</cp:lastModifiedBy>
  <cp:revision>4</cp:revision>
  <dcterms:created xsi:type="dcterms:W3CDTF">2020-12-04T22:14:00Z</dcterms:created>
  <dcterms:modified xsi:type="dcterms:W3CDTF">2020-12-09T19:40:00Z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efa18619-fe84-3287-a7f3-0dd1da6e30fe</vt:lpwstr>
  </property>
  <property fmtid="{D5CDD505-2E9C-101B-9397-08002B2CF9AE}" pid="4" name="Mendeley Citation Style_1">
    <vt:lpwstr>http://www.zotero.org/styles/genetics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http://www.zotero.org/styles/genetics</vt:lpwstr>
  </property>
  <property fmtid="{D5CDD505-2E9C-101B-9397-08002B2CF9AE}" pid="14" name="Mendeley Recent Style Name 4_1">
    <vt:lpwstr>Genetics</vt:lpwstr>
  </property>
  <property fmtid="{D5CDD505-2E9C-101B-9397-08002B2CF9AE}" pid="15" name="Mendeley Recent Style Id 5_1">
    <vt:lpwstr>http://www.zotero.org/styles/genome-research</vt:lpwstr>
  </property>
  <property fmtid="{D5CDD505-2E9C-101B-9397-08002B2CF9AE}" pid="16" name="Mendeley Recent Style Name 5_1">
    <vt:lpwstr>Genome Research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http://www.zotero.org/styles/the-american-journal-of-human-genetics</vt:lpwstr>
  </property>
  <property fmtid="{D5CDD505-2E9C-101B-9397-08002B2CF9AE}" pid="24" name="Mendeley Recent Style Name 9_1">
    <vt:lpwstr>The American Journal of Human Genetics</vt:lpwstr>
  </property>
</Properties>
</file>