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A81FA6" w14:textId="77777777" w:rsidR="00E949DB" w:rsidRPr="00EF1C62" w:rsidRDefault="0060077A">
      <w:pPr>
        <w:jc w:val="center"/>
        <w:rPr>
          <w:b/>
          <w:sz w:val="24"/>
          <w:szCs w:val="24"/>
        </w:rPr>
      </w:pPr>
      <w:r w:rsidRPr="00EF1C62">
        <w:rPr>
          <w:b/>
          <w:sz w:val="24"/>
          <w:szCs w:val="24"/>
        </w:rPr>
        <w:t>Evaluating Human Autosomal Loci for Sexually Antagonistic Viability Selection in Two Large Biobanks</w:t>
      </w:r>
    </w:p>
    <w:p w14:paraId="13D30E15" w14:textId="77777777" w:rsidR="00E949DB" w:rsidRPr="00EF1C62" w:rsidRDefault="00E949DB">
      <w:pPr>
        <w:rPr>
          <w:sz w:val="24"/>
          <w:szCs w:val="24"/>
        </w:rPr>
      </w:pPr>
    </w:p>
    <w:p w14:paraId="22CFE8F6" w14:textId="77777777" w:rsidR="00E949DB" w:rsidRPr="00EF1C62" w:rsidRDefault="0060077A">
      <w:pPr>
        <w:rPr>
          <w:sz w:val="24"/>
          <w:szCs w:val="24"/>
          <w:vertAlign w:val="superscript"/>
        </w:rPr>
      </w:pPr>
      <w:r w:rsidRPr="00EF1C62">
        <w:rPr>
          <w:sz w:val="24"/>
          <w:szCs w:val="24"/>
        </w:rPr>
        <w:t>Authors: Katja R. Kasimatis*</w:t>
      </w:r>
      <w:r w:rsidRPr="00EF1C62">
        <w:rPr>
          <w:sz w:val="24"/>
          <w:szCs w:val="24"/>
          <w:vertAlign w:val="superscript"/>
        </w:rPr>
        <w:t>,†,††</w:t>
      </w:r>
      <w:r w:rsidRPr="00EF1C62">
        <w:rPr>
          <w:sz w:val="24"/>
          <w:szCs w:val="24"/>
        </w:rPr>
        <w:t>, Abin Abraham</w:t>
      </w:r>
      <w:r w:rsidRPr="00EF1C62">
        <w:rPr>
          <w:sz w:val="24"/>
          <w:szCs w:val="24"/>
          <w:vertAlign w:val="superscript"/>
        </w:rPr>
        <w:t>‡,††</w:t>
      </w:r>
      <w:r w:rsidRPr="00EF1C62">
        <w:rPr>
          <w:sz w:val="24"/>
          <w:szCs w:val="24"/>
        </w:rPr>
        <w:t>, Peter L. Ralph*, Andrew D. Kern*, John A. Capra</w:t>
      </w:r>
      <w:r w:rsidRPr="00EF1C62">
        <w:rPr>
          <w:sz w:val="24"/>
          <w:szCs w:val="24"/>
          <w:vertAlign w:val="superscript"/>
        </w:rPr>
        <w:t>‡,§,**</w:t>
      </w:r>
      <w:r w:rsidRPr="00EF1C62">
        <w:rPr>
          <w:sz w:val="24"/>
          <w:szCs w:val="24"/>
        </w:rPr>
        <w:t>, Patrick C. Phillips*</w:t>
      </w:r>
    </w:p>
    <w:p w14:paraId="1D28FB16" w14:textId="77777777" w:rsidR="00E949DB" w:rsidRPr="00EF1C62" w:rsidRDefault="00E949DB">
      <w:pPr>
        <w:rPr>
          <w:sz w:val="24"/>
          <w:szCs w:val="24"/>
        </w:rPr>
      </w:pPr>
    </w:p>
    <w:p w14:paraId="48354D0A" w14:textId="77777777" w:rsidR="00E949DB" w:rsidRPr="00EF1C62" w:rsidRDefault="0060077A">
      <w:pPr>
        <w:rPr>
          <w:sz w:val="24"/>
          <w:szCs w:val="24"/>
        </w:rPr>
      </w:pPr>
      <w:r w:rsidRPr="00EF1C62">
        <w:rPr>
          <w:sz w:val="24"/>
          <w:szCs w:val="24"/>
        </w:rPr>
        <w:t>*Institute of Ecology and Evolution, University of Oregon, Eugene, USA</w:t>
      </w:r>
    </w:p>
    <w:p w14:paraId="3FD94E80" w14:textId="77777777" w:rsidR="00E949DB" w:rsidRPr="00EF1C62" w:rsidRDefault="0060077A">
      <w:pPr>
        <w:rPr>
          <w:sz w:val="24"/>
          <w:szCs w:val="24"/>
        </w:rPr>
      </w:pPr>
      <w:r w:rsidRPr="00EF1C62">
        <w:rPr>
          <w:sz w:val="24"/>
          <w:szCs w:val="24"/>
          <w:vertAlign w:val="superscript"/>
        </w:rPr>
        <w:t>†</w:t>
      </w:r>
      <w:r w:rsidRPr="00EF1C62">
        <w:rPr>
          <w:sz w:val="24"/>
          <w:szCs w:val="24"/>
        </w:rPr>
        <w:t>Department of Ecology and Evolutionary Biology, University of Toronto, Canada</w:t>
      </w:r>
    </w:p>
    <w:p w14:paraId="0EA5647D" w14:textId="77777777" w:rsidR="00E949DB" w:rsidRPr="00EF1C62" w:rsidRDefault="0060077A">
      <w:pPr>
        <w:rPr>
          <w:sz w:val="24"/>
          <w:szCs w:val="24"/>
        </w:rPr>
      </w:pPr>
      <w:r w:rsidRPr="00EF1C62">
        <w:rPr>
          <w:sz w:val="24"/>
          <w:szCs w:val="24"/>
          <w:vertAlign w:val="superscript"/>
        </w:rPr>
        <w:t>‡</w:t>
      </w:r>
      <w:r w:rsidRPr="00EF1C62">
        <w:rPr>
          <w:sz w:val="24"/>
          <w:szCs w:val="24"/>
        </w:rPr>
        <w:t>Vanderbilt Genetics Institute, Vanderbilt University Medical Center, Nashville, USA</w:t>
      </w:r>
    </w:p>
    <w:p w14:paraId="7A0CB6AB" w14:textId="77777777" w:rsidR="00E949DB" w:rsidRPr="00EF1C62" w:rsidRDefault="0060077A">
      <w:pPr>
        <w:rPr>
          <w:sz w:val="24"/>
          <w:szCs w:val="24"/>
        </w:rPr>
      </w:pPr>
      <w:r w:rsidRPr="00EF1C62">
        <w:rPr>
          <w:sz w:val="24"/>
          <w:szCs w:val="24"/>
          <w:vertAlign w:val="superscript"/>
        </w:rPr>
        <w:t>§</w:t>
      </w:r>
      <w:r w:rsidRPr="00EF1C62">
        <w:rPr>
          <w:sz w:val="24"/>
          <w:szCs w:val="24"/>
        </w:rPr>
        <w:t>Department of Biological Sciences, Vanderbilt University, Nashville, USA</w:t>
      </w:r>
    </w:p>
    <w:p w14:paraId="54C8C537" w14:textId="77777777" w:rsidR="00E949DB" w:rsidRPr="00EF1C62" w:rsidRDefault="0060077A">
      <w:pPr>
        <w:rPr>
          <w:sz w:val="24"/>
          <w:szCs w:val="24"/>
        </w:rPr>
      </w:pPr>
      <w:r w:rsidRPr="00EF1C62">
        <w:rPr>
          <w:sz w:val="24"/>
          <w:szCs w:val="24"/>
        </w:rPr>
        <w:t>**Bakar Computational Health Sciences Institute, University of California, San Francisco, USA</w:t>
      </w:r>
    </w:p>
    <w:p w14:paraId="3542BC01" w14:textId="77777777" w:rsidR="00E949DB" w:rsidRPr="00EF1C62" w:rsidRDefault="0060077A">
      <w:pPr>
        <w:rPr>
          <w:sz w:val="24"/>
          <w:szCs w:val="24"/>
        </w:rPr>
      </w:pPr>
      <w:r w:rsidRPr="00EF1C62">
        <w:rPr>
          <w:sz w:val="24"/>
          <w:szCs w:val="24"/>
          <w:vertAlign w:val="superscript"/>
        </w:rPr>
        <w:t>††</w:t>
      </w:r>
      <w:r w:rsidRPr="00EF1C62">
        <w:rPr>
          <w:sz w:val="24"/>
          <w:szCs w:val="24"/>
        </w:rPr>
        <w:t xml:space="preserve">These authors contributed equally. </w:t>
      </w:r>
      <w:r w:rsidRPr="00EF1C62">
        <w:rPr>
          <w:sz w:val="24"/>
          <w:szCs w:val="24"/>
        </w:rPr>
        <w:br w:type="page"/>
      </w:r>
    </w:p>
    <w:p w14:paraId="5C3330DA" w14:textId="77777777" w:rsidR="00E949DB" w:rsidRPr="00EF1C62" w:rsidRDefault="0060077A">
      <w:pPr>
        <w:rPr>
          <w:sz w:val="24"/>
          <w:szCs w:val="24"/>
        </w:rPr>
      </w:pPr>
      <w:r w:rsidRPr="00EF1C62">
        <w:rPr>
          <w:b/>
          <w:sz w:val="24"/>
          <w:szCs w:val="24"/>
        </w:rPr>
        <w:lastRenderedPageBreak/>
        <w:t xml:space="preserve">Running Title: </w:t>
      </w:r>
      <w:r w:rsidRPr="00EF1C62">
        <w:rPr>
          <w:sz w:val="24"/>
          <w:szCs w:val="24"/>
        </w:rPr>
        <w:t>Evaluating Sexually Antagonistic Variants in Humans</w:t>
      </w:r>
    </w:p>
    <w:p w14:paraId="32E607C4" w14:textId="77777777" w:rsidR="00E949DB" w:rsidRPr="00EF1C62" w:rsidRDefault="00E949DB">
      <w:pPr>
        <w:rPr>
          <w:sz w:val="24"/>
          <w:szCs w:val="24"/>
        </w:rPr>
      </w:pPr>
    </w:p>
    <w:p w14:paraId="3DC4CB9C" w14:textId="77777777" w:rsidR="00E949DB" w:rsidRPr="00EF1C62" w:rsidRDefault="0060077A">
      <w:pPr>
        <w:rPr>
          <w:sz w:val="24"/>
          <w:szCs w:val="24"/>
        </w:rPr>
      </w:pPr>
      <w:r w:rsidRPr="00EF1C62">
        <w:rPr>
          <w:b/>
          <w:sz w:val="24"/>
          <w:szCs w:val="24"/>
        </w:rPr>
        <w:t>Keywords:</w:t>
      </w:r>
      <w:r w:rsidRPr="00EF1C62">
        <w:rPr>
          <w:sz w:val="24"/>
          <w:szCs w:val="24"/>
        </w:rPr>
        <w:t xml:space="preserve"> sexually antagonistic selection, male-female </w:t>
      </w:r>
      <w:r w:rsidRPr="00EF1C62">
        <w:rPr>
          <w:i/>
          <w:sz w:val="24"/>
          <w:szCs w:val="24"/>
        </w:rPr>
        <w:t>F</w:t>
      </w:r>
      <w:r w:rsidRPr="00EF1C62">
        <w:rPr>
          <w:i/>
          <w:sz w:val="24"/>
          <w:szCs w:val="24"/>
          <w:vertAlign w:val="subscript"/>
        </w:rPr>
        <w:t>ST</w:t>
      </w:r>
      <w:r w:rsidRPr="00EF1C62">
        <w:rPr>
          <w:sz w:val="24"/>
          <w:szCs w:val="24"/>
        </w:rPr>
        <w:t>, biobank, association study, probe mapping</w:t>
      </w:r>
    </w:p>
    <w:p w14:paraId="41C3FE9B" w14:textId="77777777" w:rsidR="00E949DB" w:rsidRPr="00EF1C62" w:rsidRDefault="00E949DB">
      <w:pPr>
        <w:rPr>
          <w:sz w:val="24"/>
          <w:szCs w:val="24"/>
        </w:rPr>
      </w:pPr>
    </w:p>
    <w:p w14:paraId="170B5F78" w14:textId="77777777" w:rsidR="00E949DB" w:rsidRPr="00EF1C62" w:rsidRDefault="0060077A">
      <w:pPr>
        <w:rPr>
          <w:sz w:val="24"/>
          <w:szCs w:val="24"/>
        </w:rPr>
      </w:pPr>
      <w:r w:rsidRPr="00EF1C62">
        <w:rPr>
          <w:b/>
          <w:sz w:val="24"/>
          <w:szCs w:val="24"/>
        </w:rPr>
        <w:t>Corresponding Authors:</w:t>
      </w:r>
    </w:p>
    <w:p w14:paraId="2A5A4C4C" w14:textId="77777777" w:rsidR="00E949DB" w:rsidRPr="00EF1C62" w:rsidRDefault="0060077A">
      <w:pPr>
        <w:rPr>
          <w:sz w:val="24"/>
          <w:szCs w:val="24"/>
        </w:rPr>
      </w:pPr>
      <w:r w:rsidRPr="00EF1C62">
        <w:rPr>
          <w:sz w:val="24"/>
          <w:szCs w:val="24"/>
        </w:rPr>
        <w:t>John A. Capra</w:t>
      </w:r>
    </w:p>
    <w:p w14:paraId="652DC0F2" w14:textId="77777777" w:rsidR="00E949DB" w:rsidRPr="00EF1C62" w:rsidRDefault="0060077A">
      <w:pPr>
        <w:rPr>
          <w:sz w:val="24"/>
          <w:szCs w:val="24"/>
        </w:rPr>
      </w:pPr>
      <w:r w:rsidRPr="00EF1C62">
        <w:rPr>
          <w:sz w:val="24"/>
          <w:szCs w:val="24"/>
        </w:rPr>
        <w:t>Bakar Computational Health Sciences Institute</w:t>
      </w:r>
    </w:p>
    <w:p w14:paraId="274FECBE" w14:textId="77777777" w:rsidR="00E949DB" w:rsidRPr="00EF1C62" w:rsidRDefault="0060077A">
      <w:pPr>
        <w:rPr>
          <w:sz w:val="24"/>
          <w:szCs w:val="24"/>
        </w:rPr>
      </w:pPr>
      <w:r w:rsidRPr="00EF1C62">
        <w:rPr>
          <w:sz w:val="24"/>
          <w:szCs w:val="24"/>
        </w:rPr>
        <w:t>University of California, San Francisco</w:t>
      </w:r>
    </w:p>
    <w:p w14:paraId="4039ECEC" w14:textId="77777777" w:rsidR="00E949DB" w:rsidRPr="00EF1C62" w:rsidRDefault="0060077A">
      <w:pPr>
        <w:rPr>
          <w:sz w:val="24"/>
          <w:szCs w:val="24"/>
        </w:rPr>
      </w:pPr>
      <w:r w:rsidRPr="00EF1C62">
        <w:rPr>
          <w:sz w:val="24"/>
          <w:szCs w:val="24"/>
        </w:rPr>
        <w:t>490 Illinois St., Floor 2</w:t>
      </w:r>
    </w:p>
    <w:p w14:paraId="0942E08C" w14:textId="77777777" w:rsidR="00E949DB" w:rsidRPr="00EF1C62" w:rsidRDefault="0060077A">
      <w:pPr>
        <w:rPr>
          <w:sz w:val="24"/>
          <w:szCs w:val="24"/>
        </w:rPr>
      </w:pPr>
      <w:r w:rsidRPr="00EF1C62">
        <w:rPr>
          <w:sz w:val="24"/>
          <w:szCs w:val="24"/>
        </w:rPr>
        <w:t>San Francisco, CA 94143</w:t>
      </w:r>
    </w:p>
    <w:p w14:paraId="65AD00EC" w14:textId="77777777" w:rsidR="00E949DB" w:rsidRPr="00EF1C62" w:rsidRDefault="0060077A">
      <w:pPr>
        <w:rPr>
          <w:sz w:val="24"/>
          <w:szCs w:val="24"/>
        </w:rPr>
      </w:pPr>
      <w:r w:rsidRPr="00EF1C62">
        <w:rPr>
          <w:sz w:val="24"/>
          <w:szCs w:val="24"/>
        </w:rPr>
        <w:t>tony.capra@ucsf.edu</w:t>
      </w:r>
    </w:p>
    <w:p w14:paraId="39094210" w14:textId="77777777" w:rsidR="00E949DB" w:rsidRPr="00EF1C62" w:rsidRDefault="00E949DB">
      <w:pPr>
        <w:rPr>
          <w:sz w:val="24"/>
          <w:szCs w:val="24"/>
        </w:rPr>
      </w:pPr>
    </w:p>
    <w:p w14:paraId="333841F8" w14:textId="77777777" w:rsidR="00E949DB" w:rsidRPr="00EF1C62" w:rsidRDefault="0060077A">
      <w:pPr>
        <w:rPr>
          <w:sz w:val="24"/>
          <w:szCs w:val="24"/>
        </w:rPr>
      </w:pPr>
      <w:r w:rsidRPr="00EF1C62">
        <w:rPr>
          <w:sz w:val="24"/>
          <w:szCs w:val="24"/>
        </w:rPr>
        <w:t>Patrick C. Phillips</w:t>
      </w:r>
    </w:p>
    <w:p w14:paraId="10479EFD" w14:textId="77777777" w:rsidR="00E949DB" w:rsidRPr="00EF1C62" w:rsidRDefault="0060077A">
      <w:pPr>
        <w:rPr>
          <w:sz w:val="24"/>
          <w:szCs w:val="24"/>
        </w:rPr>
      </w:pPr>
      <w:r w:rsidRPr="00EF1C62">
        <w:rPr>
          <w:sz w:val="24"/>
          <w:szCs w:val="24"/>
        </w:rPr>
        <w:t>272 Onyx Bridge</w:t>
      </w:r>
    </w:p>
    <w:p w14:paraId="26AB05DC" w14:textId="77777777" w:rsidR="00E949DB" w:rsidRPr="00EF1C62" w:rsidRDefault="0060077A">
      <w:pPr>
        <w:rPr>
          <w:sz w:val="24"/>
          <w:szCs w:val="24"/>
        </w:rPr>
      </w:pPr>
      <w:r w:rsidRPr="00EF1C62">
        <w:rPr>
          <w:sz w:val="24"/>
          <w:szCs w:val="24"/>
        </w:rPr>
        <w:t>5289University of Oregon</w:t>
      </w:r>
    </w:p>
    <w:p w14:paraId="0A0C9A5F" w14:textId="77777777" w:rsidR="00E949DB" w:rsidRPr="00EF1C62" w:rsidRDefault="0060077A">
      <w:pPr>
        <w:rPr>
          <w:sz w:val="24"/>
          <w:szCs w:val="24"/>
        </w:rPr>
      </w:pPr>
      <w:r w:rsidRPr="00EF1C62">
        <w:rPr>
          <w:sz w:val="24"/>
          <w:szCs w:val="24"/>
        </w:rPr>
        <w:t>Eugene, OR 97403</w:t>
      </w:r>
    </w:p>
    <w:p w14:paraId="208AF300" w14:textId="77777777" w:rsidR="00E949DB" w:rsidRPr="00EF1C62" w:rsidRDefault="0060077A">
      <w:pPr>
        <w:rPr>
          <w:sz w:val="24"/>
          <w:szCs w:val="24"/>
        </w:rPr>
      </w:pPr>
      <w:r w:rsidRPr="00EF1C62">
        <w:rPr>
          <w:sz w:val="24"/>
          <w:szCs w:val="24"/>
        </w:rPr>
        <w:t>pphil@uoregon.edu</w:t>
      </w:r>
    </w:p>
    <w:p w14:paraId="0D98FB3A" w14:textId="77777777" w:rsidR="00E949DB" w:rsidRPr="00EF1C62" w:rsidRDefault="0060077A">
      <w:pPr>
        <w:rPr>
          <w:sz w:val="24"/>
          <w:szCs w:val="24"/>
        </w:rPr>
      </w:pPr>
      <w:r w:rsidRPr="00EF1C62">
        <w:rPr>
          <w:sz w:val="24"/>
          <w:szCs w:val="24"/>
        </w:rPr>
        <w:t xml:space="preserve">541-346-0916 </w:t>
      </w:r>
      <w:r w:rsidRPr="00EF1C62">
        <w:rPr>
          <w:sz w:val="24"/>
          <w:szCs w:val="24"/>
        </w:rPr>
        <w:br w:type="page"/>
      </w:r>
    </w:p>
    <w:p w14:paraId="27E4BBF9" w14:textId="77777777" w:rsidR="00E949DB" w:rsidRPr="00EF1C62" w:rsidRDefault="0060077A">
      <w:pPr>
        <w:rPr>
          <w:b/>
          <w:sz w:val="24"/>
          <w:szCs w:val="24"/>
        </w:rPr>
      </w:pPr>
      <w:r w:rsidRPr="00EF1C62">
        <w:rPr>
          <w:b/>
          <w:sz w:val="24"/>
          <w:szCs w:val="24"/>
        </w:rPr>
        <w:lastRenderedPageBreak/>
        <w:t>SUPPLEMENTARY FILES</w:t>
      </w:r>
    </w:p>
    <w:p w14:paraId="0DD778C9" w14:textId="77777777" w:rsidR="009B6518" w:rsidRPr="00EF1C62" w:rsidRDefault="009B6518" w:rsidP="009B6518">
      <w:pPr>
        <w:spacing w:line="240" w:lineRule="auto"/>
        <w:rPr>
          <w:sz w:val="24"/>
          <w:szCs w:val="24"/>
        </w:rPr>
      </w:pPr>
    </w:p>
    <w:p w14:paraId="6EF56842" w14:textId="134309B1" w:rsidR="009B6518" w:rsidRPr="00EF1C62" w:rsidRDefault="009B6518" w:rsidP="009B6518">
      <w:pPr>
        <w:spacing w:line="240" w:lineRule="auto"/>
        <w:rPr>
          <w:sz w:val="24"/>
          <w:szCs w:val="24"/>
        </w:rPr>
      </w:pPr>
      <w:r w:rsidRPr="00EF1C62">
        <w:rPr>
          <w:b/>
          <w:sz w:val="24"/>
          <w:szCs w:val="24"/>
        </w:rPr>
        <w:t>Supplementary File 1:</w:t>
      </w:r>
      <w:r w:rsidRPr="00EF1C62">
        <w:rPr>
          <w:sz w:val="24"/>
          <w:szCs w:val="24"/>
        </w:rPr>
        <w:t xml:space="preserve"> “FileS1_verification_sexeffect_removal.pdf” – Verification that the UK Biobank removed sex effect SNPs are indeed technical artifacts.</w:t>
      </w:r>
    </w:p>
    <w:p w14:paraId="2136ACAF" w14:textId="03BCA587" w:rsidR="00E949DB" w:rsidRPr="00EF1C62" w:rsidRDefault="00E949DB">
      <w:pPr>
        <w:rPr>
          <w:sz w:val="24"/>
          <w:szCs w:val="24"/>
        </w:rPr>
      </w:pPr>
    </w:p>
    <w:p w14:paraId="48E41CC5" w14:textId="791C6D22" w:rsidR="00AB56DC" w:rsidRPr="00EF1C62" w:rsidRDefault="00AB56DC" w:rsidP="00AB56DC">
      <w:pPr>
        <w:rPr>
          <w:sz w:val="24"/>
          <w:szCs w:val="24"/>
        </w:rPr>
      </w:pPr>
      <w:r w:rsidRPr="00EF1C62">
        <w:rPr>
          <w:b/>
          <w:sz w:val="24"/>
          <w:szCs w:val="24"/>
        </w:rPr>
        <w:t>Supplementary File 2:</w:t>
      </w:r>
      <w:r w:rsidRPr="00EF1C62">
        <w:rPr>
          <w:sz w:val="24"/>
          <w:szCs w:val="24"/>
        </w:rPr>
        <w:t xml:space="preserve"> “FileS2_uk_gwas_pca20_centers_age_AllConcordant_ missingness_variants_w_HWE.xlsx” – Genome-wide significant variants (n=64) in UK Biobank with statistically significant missingness between females and males with variants annotated with matches to sex chromosome, low homozygous counts, or candidates to follow up. </w:t>
      </w:r>
    </w:p>
    <w:p w14:paraId="6ADB78AE" w14:textId="0F5FF95D" w:rsidR="009B6518" w:rsidRPr="00EF1C62" w:rsidRDefault="009B6518">
      <w:pPr>
        <w:rPr>
          <w:sz w:val="24"/>
          <w:szCs w:val="24"/>
        </w:rPr>
      </w:pPr>
    </w:p>
    <w:p w14:paraId="6FEE10C4" w14:textId="40D3C9ED" w:rsidR="009A5F3E" w:rsidRPr="00EF1C62" w:rsidRDefault="009A5F3E">
      <w:pPr>
        <w:rPr>
          <w:sz w:val="24"/>
          <w:szCs w:val="24"/>
        </w:rPr>
      </w:pPr>
      <w:r w:rsidRPr="00EF1C62">
        <w:rPr>
          <w:b/>
          <w:sz w:val="24"/>
          <w:szCs w:val="24"/>
        </w:rPr>
        <w:t>Supplementary File 3:</w:t>
      </w:r>
      <w:r w:rsidRPr="00EF1C62">
        <w:rPr>
          <w:sz w:val="24"/>
          <w:szCs w:val="24"/>
        </w:rPr>
        <w:t xml:space="preserve"> “FileS3_mortality_selection_derivation.pdf” – Mathematical derivation for estimating the sex-specific mortality cost.</w:t>
      </w:r>
    </w:p>
    <w:p w14:paraId="3EFBCE4B" w14:textId="77777777" w:rsidR="009A5F3E" w:rsidRPr="00EF1C62" w:rsidRDefault="009A5F3E">
      <w:pPr>
        <w:rPr>
          <w:sz w:val="24"/>
          <w:szCs w:val="24"/>
        </w:rPr>
      </w:pPr>
    </w:p>
    <w:p w14:paraId="498B7EA1" w14:textId="2D6F33E3" w:rsidR="00E949DB" w:rsidRPr="00EF1C62" w:rsidRDefault="0060077A">
      <w:pPr>
        <w:rPr>
          <w:sz w:val="24"/>
          <w:szCs w:val="24"/>
        </w:rPr>
      </w:pPr>
      <w:r w:rsidRPr="00EF1C62">
        <w:rPr>
          <w:b/>
          <w:sz w:val="24"/>
          <w:szCs w:val="24"/>
        </w:rPr>
        <w:t xml:space="preserve">Supplementary File </w:t>
      </w:r>
      <w:r w:rsidR="009A5F3E" w:rsidRPr="00EF1C62">
        <w:rPr>
          <w:b/>
          <w:sz w:val="24"/>
          <w:szCs w:val="24"/>
        </w:rPr>
        <w:t>4</w:t>
      </w:r>
      <w:r w:rsidRPr="00EF1C62">
        <w:rPr>
          <w:b/>
          <w:sz w:val="24"/>
          <w:szCs w:val="24"/>
        </w:rPr>
        <w:t>:</w:t>
      </w:r>
      <w:r w:rsidRPr="00EF1C62">
        <w:rPr>
          <w:sz w:val="24"/>
          <w:szCs w:val="24"/>
        </w:rPr>
        <w:t xml:space="preserve"> “</w:t>
      </w:r>
      <w:r w:rsidR="00AB56DC" w:rsidRPr="00EF1C62">
        <w:rPr>
          <w:sz w:val="24"/>
          <w:szCs w:val="24"/>
        </w:rPr>
        <w:t>File</w:t>
      </w:r>
      <w:r w:rsidRPr="00EF1C62">
        <w:rPr>
          <w:sz w:val="24"/>
          <w:szCs w:val="24"/>
        </w:rPr>
        <w:t>S</w:t>
      </w:r>
      <w:r w:rsidR="009A5F3E" w:rsidRPr="00EF1C62">
        <w:rPr>
          <w:sz w:val="24"/>
          <w:szCs w:val="24"/>
        </w:rPr>
        <w:t>4</w:t>
      </w:r>
      <w:r w:rsidRPr="00EF1C62">
        <w:rPr>
          <w:sz w:val="24"/>
          <w:szCs w:val="24"/>
        </w:rPr>
        <w:t xml:space="preserve">_gwas_significant_hits.xlsx” -  Summary statistics for genome-wide significant variants (including those removed for uneven missing rate between the sexes) associated with genetic sex in BioVU and UK Biobank. </w:t>
      </w:r>
      <w:r w:rsidRPr="00EF1C62">
        <w:rPr>
          <w:sz w:val="24"/>
          <w:szCs w:val="24"/>
          <w:lang w:val="en-US"/>
        </w:rPr>
        <w:t>MALE_HOM1, MALE_HET, and MALE_HOM2 are the counts of genotypes of the minor allele homozygote, heterozygote, and major allele homozygote genotype calls in males, respectively; MALE_MISSING is the number of missing genotypes in males reported by plink. FEM_ prefixes similar columns for females. MISSING_PVAL gives the p-value from Fisher’s exact test comparing proportions of missing genotypes between males and females as reported by plink. HOM1_PVAL gives the p-value for a binomial test for the proportion of minor allele homozygotes (of either sex) being equal to the marginal allele frequency squared. OR, STAT and ASSOC_PVAL gives the maximum odds ratio, t-statistic and p-value from logistic regression as described in the text.</w:t>
      </w:r>
      <w:r w:rsidRPr="00EF1C62">
        <w:rPr>
          <w:sz w:val="24"/>
          <w:szCs w:val="24"/>
        </w:rPr>
        <w:t xml:space="preserve"> </w:t>
      </w:r>
    </w:p>
    <w:p w14:paraId="1789AB41" w14:textId="6005CBD6" w:rsidR="00E949DB" w:rsidRPr="00EF1C62" w:rsidRDefault="00E949DB">
      <w:pPr>
        <w:rPr>
          <w:b/>
          <w:sz w:val="24"/>
          <w:szCs w:val="24"/>
        </w:rPr>
      </w:pPr>
    </w:p>
    <w:p w14:paraId="21541DE4" w14:textId="1D593C3E" w:rsidR="00AB56DC" w:rsidRDefault="00AB56DC" w:rsidP="00AB56DC">
      <w:pPr>
        <w:rPr>
          <w:sz w:val="24"/>
          <w:szCs w:val="24"/>
        </w:rPr>
      </w:pPr>
      <w:r w:rsidRPr="00EF1C62">
        <w:rPr>
          <w:b/>
          <w:sz w:val="24"/>
          <w:szCs w:val="24"/>
        </w:rPr>
        <w:t xml:space="preserve">Supplementary File </w:t>
      </w:r>
      <w:r w:rsidR="009A5F3E" w:rsidRPr="00EF1C62">
        <w:rPr>
          <w:b/>
          <w:sz w:val="24"/>
          <w:szCs w:val="24"/>
        </w:rPr>
        <w:t>5</w:t>
      </w:r>
      <w:r w:rsidRPr="00EF1C62">
        <w:rPr>
          <w:b/>
          <w:sz w:val="24"/>
          <w:szCs w:val="24"/>
        </w:rPr>
        <w:t xml:space="preserve">: </w:t>
      </w:r>
      <w:r w:rsidRPr="00EF1C62">
        <w:rPr>
          <w:sz w:val="24"/>
          <w:szCs w:val="24"/>
        </w:rPr>
        <w:t>“FileS</w:t>
      </w:r>
      <w:r w:rsidR="009A5F3E" w:rsidRPr="00EF1C62">
        <w:rPr>
          <w:sz w:val="24"/>
          <w:szCs w:val="24"/>
        </w:rPr>
        <w:t>5</w:t>
      </w:r>
      <w:r w:rsidRPr="00EF1C62">
        <w:rPr>
          <w:sz w:val="24"/>
          <w:szCs w:val="24"/>
        </w:rPr>
        <w:t xml:space="preserve">_BioVU_UKBB_up_to_40PCs.xlsx” – Comparison of genome-wide significant variants associated with genetic sex in BioVU and UK Biobank using different numbers of PCs and subset of genetic European ancestry in UK Biobank. </w:t>
      </w:r>
    </w:p>
    <w:p w14:paraId="0368D52B" w14:textId="77777777" w:rsidR="0055134B" w:rsidRDefault="0055134B" w:rsidP="00AB56DC">
      <w:pPr>
        <w:rPr>
          <w:sz w:val="24"/>
          <w:szCs w:val="24"/>
        </w:rPr>
      </w:pPr>
    </w:p>
    <w:p w14:paraId="1CDD1C79" w14:textId="3FD16480" w:rsidR="0055134B" w:rsidRPr="00EF1C62" w:rsidRDefault="0055134B" w:rsidP="0055134B">
      <w:pPr>
        <w:rPr>
          <w:sz w:val="24"/>
          <w:szCs w:val="24"/>
        </w:rPr>
      </w:pPr>
      <w:r w:rsidRPr="00EF1C62">
        <w:rPr>
          <w:b/>
          <w:sz w:val="24"/>
          <w:szCs w:val="24"/>
        </w:rPr>
        <w:t xml:space="preserve">Supplementary File </w:t>
      </w:r>
      <w:r>
        <w:rPr>
          <w:b/>
          <w:sz w:val="24"/>
          <w:szCs w:val="24"/>
        </w:rPr>
        <w:t>6</w:t>
      </w:r>
      <w:r w:rsidRPr="00EF1C62">
        <w:rPr>
          <w:b/>
          <w:sz w:val="24"/>
          <w:szCs w:val="24"/>
        </w:rPr>
        <w:t>:</w:t>
      </w:r>
      <w:r w:rsidRPr="00EF1C62">
        <w:rPr>
          <w:sz w:val="24"/>
          <w:szCs w:val="24"/>
        </w:rPr>
        <w:t xml:space="preserve"> “FileS</w:t>
      </w:r>
      <w:r>
        <w:rPr>
          <w:sz w:val="24"/>
          <w:szCs w:val="24"/>
        </w:rPr>
        <w:t>6</w:t>
      </w:r>
      <w:r w:rsidRPr="00EF1C62">
        <w:rPr>
          <w:sz w:val="24"/>
          <w:szCs w:val="24"/>
        </w:rPr>
        <w:t>_uk_var_w_missingness_best_blatscore_xy.tsv” – Best sex chromosome match based on highest BLAT score for UK Biobank genome-wide significant variants with statistically significant difference in missing rate between females and males.</w:t>
      </w:r>
    </w:p>
    <w:p w14:paraId="5969AC87" w14:textId="77777777" w:rsidR="00AB56DC" w:rsidRPr="00EF1C62" w:rsidRDefault="00AB56DC">
      <w:pPr>
        <w:rPr>
          <w:b/>
          <w:sz w:val="24"/>
          <w:szCs w:val="24"/>
        </w:rPr>
      </w:pPr>
    </w:p>
    <w:p w14:paraId="177B9796" w14:textId="5982065F" w:rsidR="00E949DB" w:rsidRPr="00EF1C62" w:rsidRDefault="0060077A">
      <w:pPr>
        <w:rPr>
          <w:sz w:val="24"/>
          <w:szCs w:val="24"/>
        </w:rPr>
      </w:pPr>
      <w:r w:rsidRPr="00EF1C62">
        <w:rPr>
          <w:b/>
          <w:sz w:val="24"/>
          <w:szCs w:val="24"/>
        </w:rPr>
        <w:t xml:space="preserve">Supplementary File </w:t>
      </w:r>
      <w:r w:rsidR="0055134B">
        <w:rPr>
          <w:b/>
          <w:sz w:val="24"/>
          <w:szCs w:val="24"/>
        </w:rPr>
        <w:t>7</w:t>
      </w:r>
      <w:r w:rsidRPr="00EF1C62">
        <w:rPr>
          <w:b/>
          <w:sz w:val="24"/>
          <w:szCs w:val="24"/>
        </w:rPr>
        <w:t>:</w:t>
      </w:r>
      <w:r w:rsidRPr="00EF1C62">
        <w:rPr>
          <w:sz w:val="24"/>
          <w:szCs w:val="24"/>
        </w:rPr>
        <w:t xml:space="preserve"> “</w:t>
      </w:r>
      <w:r w:rsidR="00AB56DC" w:rsidRPr="00EF1C62">
        <w:rPr>
          <w:sz w:val="24"/>
          <w:szCs w:val="24"/>
        </w:rPr>
        <w:t>FileS</w:t>
      </w:r>
      <w:r w:rsidR="0055134B">
        <w:rPr>
          <w:sz w:val="24"/>
          <w:szCs w:val="24"/>
        </w:rPr>
        <w:t>7</w:t>
      </w:r>
      <w:r w:rsidRPr="00EF1C62">
        <w:rPr>
          <w:sz w:val="24"/>
          <w:szCs w:val="24"/>
        </w:rPr>
        <w:t xml:space="preserve">_HWE_genotype_counts.xlsx” - Genome-wide significant variants associated with genetic sex in BioVU and UK Biobank with Hardy-Weinberg Equilibrium statistics. </w:t>
      </w:r>
    </w:p>
    <w:p w14:paraId="7B730717" w14:textId="5549BBA4" w:rsidR="00E949DB" w:rsidRPr="00EF1C62" w:rsidRDefault="00E949DB">
      <w:pPr>
        <w:rPr>
          <w:sz w:val="24"/>
          <w:szCs w:val="24"/>
        </w:rPr>
      </w:pPr>
    </w:p>
    <w:p w14:paraId="534EBF9D" w14:textId="77777777" w:rsidR="009A5F3E" w:rsidRPr="00EF1C62" w:rsidRDefault="009A5F3E">
      <w:pPr>
        <w:rPr>
          <w:sz w:val="24"/>
          <w:szCs w:val="24"/>
        </w:rPr>
      </w:pPr>
    </w:p>
    <w:p w14:paraId="06E40701" w14:textId="0F2CFB23" w:rsidR="00E949DB" w:rsidRPr="00EF1C62" w:rsidRDefault="0060077A">
      <w:pPr>
        <w:rPr>
          <w:sz w:val="24"/>
          <w:szCs w:val="24"/>
        </w:rPr>
      </w:pPr>
      <w:r w:rsidRPr="00EF1C62">
        <w:rPr>
          <w:b/>
          <w:sz w:val="24"/>
          <w:szCs w:val="24"/>
        </w:rPr>
        <w:t xml:space="preserve">Supplementary File </w:t>
      </w:r>
      <w:r w:rsidR="009A5F3E" w:rsidRPr="00EF1C62">
        <w:rPr>
          <w:b/>
          <w:sz w:val="24"/>
          <w:szCs w:val="24"/>
        </w:rPr>
        <w:t>8</w:t>
      </w:r>
      <w:r w:rsidRPr="00EF1C62">
        <w:rPr>
          <w:b/>
          <w:sz w:val="24"/>
          <w:szCs w:val="24"/>
        </w:rPr>
        <w:t>:</w:t>
      </w:r>
      <w:r w:rsidRPr="00EF1C62">
        <w:rPr>
          <w:sz w:val="24"/>
          <w:szCs w:val="24"/>
        </w:rPr>
        <w:t xml:space="preserve"> “</w:t>
      </w:r>
      <w:r w:rsidR="009A5F3E" w:rsidRPr="00EF1C62">
        <w:rPr>
          <w:sz w:val="24"/>
          <w:szCs w:val="24"/>
        </w:rPr>
        <w:t>FileS8</w:t>
      </w:r>
      <w:r w:rsidRPr="00EF1C62">
        <w:rPr>
          <w:sz w:val="24"/>
          <w:szCs w:val="24"/>
        </w:rPr>
        <w:t xml:space="preserve">_raw_blat_xy_hits_bv.tsv” - Raw BLAT results for hits to chromosome X or Y for probes in the MEGAex genotyping array. </w:t>
      </w:r>
    </w:p>
    <w:p w14:paraId="74ED5866" w14:textId="77777777" w:rsidR="00E949DB" w:rsidRPr="00EF1C62" w:rsidRDefault="00E949DB">
      <w:pPr>
        <w:rPr>
          <w:sz w:val="24"/>
          <w:szCs w:val="24"/>
        </w:rPr>
      </w:pPr>
    </w:p>
    <w:p w14:paraId="5065333F" w14:textId="32A3B16E" w:rsidR="00E949DB" w:rsidRPr="00EF1C62" w:rsidRDefault="0060077A">
      <w:pPr>
        <w:rPr>
          <w:sz w:val="24"/>
          <w:szCs w:val="24"/>
        </w:rPr>
      </w:pPr>
      <w:r w:rsidRPr="00EF1C62">
        <w:rPr>
          <w:b/>
          <w:sz w:val="24"/>
          <w:szCs w:val="24"/>
        </w:rPr>
        <w:t xml:space="preserve">Supplementary File </w:t>
      </w:r>
      <w:r w:rsidR="009A5F3E" w:rsidRPr="00EF1C62">
        <w:rPr>
          <w:b/>
          <w:sz w:val="24"/>
          <w:szCs w:val="24"/>
        </w:rPr>
        <w:t>9</w:t>
      </w:r>
      <w:r w:rsidRPr="00EF1C62">
        <w:rPr>
          <w:b/>
          <w:sz w:val="24"/>
          <w:szCs w:val="24"/>
        </w:rPr>
        <w:t>:</w:t>
      </w:r>
      <w:r w:rsidRPr="00EF1C62">
        <w:rPr>
          <w:sz w:val="24"/>
          <w:szCs w:val="24"/>
        </w:rPr>
        <w:t xml:space="preserve"> “</w:t>
      </w:r>
      <w:r w:rsidR="009A5F3E" w:rsidRPr="00EF1C62">
        <w:rPr>
          <w:sz w:val="24"/>
          <w:szCs w:val="24"/>
        </w:rPr>
        <w:t>FileS9</w:t>
      </w:r>
      <w:r w:rsidRPr="00EF1C62">
        <w:rPr>
          <w:sz w:val="24"/>
          <w:szCs w:val="24"/>
        </w:rPr>
        <w:t xml:space="preserve">_raw_blat_xy_hits_ukaxiom.tsv” - Raw BLAT results for hits to chromosome X or Y for probes in the UK Biobank Axiom genotyping array. </w:t>
      </w:r>
    </w:p>
    <w:p w14:paraId="556BCAD5" w14:textId="77777777" w:rsidR="00E949DB" w:rsidRPr="00EF1C62" w:rsidRDefault="00E949DB">
      <w:pPr>
        <w:rPr>
          <w:sz w:val="24"/>
          <w:szCs w:val="24"/>
        </w:rPr>
      </w:pPr>
    </w:p>
    <w:p w14:paraId="23512A24" w14:textId="335EA736" w:rsidR="00E949DB" w:rsidRPr="00EF1C62" w:rsidRDefault="0060077A">
      <w:pPr>
        <w:rPr>
          <w:sz w:val="24"/>
          <w:szCs w:val="24"/>
        </w:rPr>
      </w:pPr>
      <w:r w:rsidRPr="00EF1C62">
        <w:rPr>
          <w:b/>
          <w:sz w:val="24"/>
          <w:szCs w:val="24"/>
        </w:rPr>
        <w:t xml:space="preserve">Supplementary File </w:t>
      </w:r>
      <w:r w:rsidR="009A5F3E" w:rsidRPr="00EF1C62">
        <w:rPr>
          <w:b/>
          <w:sz w:val="24"/>
          <w:szCs w:val="24"/>
        </w:rPr>
        <w:t>10</w:t>
      </w:r>
      <w:r w:rsidRPr="00EF1C62">
        <w:rPr>
          <w:b/>
          <w:sz w:val="24"/>
          <w:szCs w:val="24"/>
        </w:rPr>
        <w:t>:</w:t>
      </w:r>
      <w:r w:rsidRPr="00EF1C62">
        <w:rPr>
          <w:sz w:val="24"/>
          <w:szCs w:val="24"/>
        </w:rPr>
        <w:t xml:space="preserve"> “</w:t>
      </w:r>
      <w:r w:rsidR="009A5F3E" w:rsidRPr="00EF1C62">
        <w:rPr>
          <w:sz w:val="24"/>
          <w:szCs w:val="24"/>
        </w:rPr>
        <w:t>FileS10</w:t>
      </w:r>
      <w:r w:rsidRPr="00EF1C62">
        <w:rPr>
          <w:sz w:val="24"/>
          <w:szCs w:val="24"/>
        </w:rPr>
        <w:t xml:space="preserve">_raw_blat_xy_hits_ukbil.tsv” -  Raw BLAT results for hits to chromosome X or Y for probes in the UK BilEVE genotyping array. </w:t>
      </w:r>
    </w:p>
    <w:p w14:paraId="7BCA7BF8" w14:textId="77777777" w:rsidR="00E949DB" w:rsidRPr="00EF1C62" w:rsidRDefault="00E949DB">
      <w:pPr>
        <w:rPr>
          <w:sz w:val="24"/>
          <w:szCs w:val="24"/>
        </w:rPr>
      </w:pPr>
    </w:p>
    <w:p w14:paraId="2202D195" w14:textId="6DB6CBD1" w:rsidR="00E949DB" w:rsidRPr="00EF1C62" w:rsidRDefault="0060077A">
      <w:pPr>
        <w:rPr>
          <w:sz w:val="24"/>
          <w:szCs w:val="24"/>
        </w:rPr>
      </w:pPr>
      <w:r w:rsidRPr="00EF1C62">
        <w:rPr>
          <w:b/>
          <w:sz w:val="24"/>
          <w:szCs w:val="24"/>
        </w:rPr>
        <w:t xml:space="preserve">Supplementary File </w:t>
      </w:r>
      <w:r w:rsidR="009A5F3E" w:rsidRPr="00EF1C62">
        <w:rPr>
          <w:b/>
          <w:sz w:val="24"/>
          <w:szCs w:val="24"/>
        </w:rPr>
        <w:t>11</w:t>
      </w:r>
      <w:r w:rsidRPr="00EF1C62">
        <w:rPr>
          <w:b/>
          <w:sz w:val="24"/>
          <w:szCs w:val="24"/>
        </w:rPr>
        <w:t>:</w:t>
      </w:r>
      <w:r w:rsidRPr="00EF1C62">
        <w:rPr>
          <w:sz w:val="24"/>
          <w:szCs w:val="24"/>
        </w:rPr>
        <w:t xml:space="preserve"> “</w:t>
      </w:r>
      <w:r w:rsidR="009A5F3E" w:rsidRPr="00EF1C62">
        <w:rPr>
          <w:sz w:val="24"/>
          <w:szCs w:val="24"/>
        </w:rPr>
        <w:t>FileS11</w:t>
      </w:r>
      <w:r w:rsidRPr="00EF1C62">
        <w:rPr>
          <w:sz w:val="24"/>
          <w:szCs w:val="24"/>
        </w:rPr>
        <w:t>_best_blatscore_xy_hit_length_filtered_bv_gwas.tsv” - Best BLAT matches to chromosome X or Y  based on highest BLAT score for each probe in the MEGAex genotyping array.</w:t>
      </w:r>
    </w:p>
    <w:p w14:paraId="612EF79A" w14:textId="77777777" w:rsidR="00E949DB" w:rsidRPr="00EF1C62" w:rsidRDefault="00E949DB">
      <w:pPr>
        <w:rPr>
          <w:sz w:val="24"/>
          <w:szCs w:val="24"/>
        </w:rPr>
      </w:pPr>
    </w:p>
    <w:p w14:paraId="7422A7A7" w14:textId="143D65B3" w:rsidR="00E949DB" w:rsidRPr="00EF1C62" w:rsidRDefault="0060077A">
      <w:pPr>
        <w:rPr>
          <w:sz w:val="24"/>
          <w:szCs w:val="24"/>
        </w:rPr>
      </w:pPr>
      <w:r w:rsidRPr="00EF1C62">
        <w:rPr>
          <w:b/>
          <w:sz w:val="24"/>
          <w:szCs w:val="24"/>
        </w:rPr>
        <w:t xml:space="preserve">Supplementary File </w:t>
      </w:r>
      <w:r w:rsidR="00AB56DC" w:rsidRPr="00EF1C62">
        <w:rPr>
          <w:b/>
          <w:sz w:val="24"/>
          <w:szCs w:val="24"/>
        </w:rPr>
        <w:t>1</w:t>
      </w:r>
      <w:r w:rsidR="009A5F3E" w:rsidRPr="00EF1C62">
        <w:rPr>
          <w:b/>
          <w:sz w:val="24"/>
          <w:szCs w:val="24"/>
        </w:rPr>
        <w:t>2</w:t>
      </w:r>
      <w:r w:rsidRPr="00EF1C62">
        <w:rPr>
          <w:b/>
          <w:sz w:val="24"/>
          <w:szCs w:val="24"/>
        </w:rPr>
        <w:t>:</w:t>
      </w:r>
      <w:r w:rsidRPr="00EF1C62">
        <w:rPr>
          <w:sz w:val="24"/>
          <w:szCs w:val="24"/>
        </w:rPr>
        <w:t xml:space="preserve"> “</w:t>
      </w:r>
      <w:r w:rsidR="009A5F3E" w:rsidRPr="00EF1C62">
        <w:rPr>
          <w:sz w:val="24"/>
          <w:szCs w:val="24"/>
        </w:rPr>
        <w:t>FileS12</w:t>
      </w:r>
      <w:r w:rsidRPr="00EF1C62">
        <w:rPr>
          <w:sz w:val="24"/>
          <w:szCs w:val="24"/>
        </w:rPr>
        <w:t>_best_blatscore_xy_hit_length_filtered_uk_gwas.tsv” - Best BLAT matches to chromosome X or Y  based on highest BLAT score for each probe in the UK Biobank. BLAT results for hits to chromosome X or Y for probes are chosen after pooling across UK Biobank Axiom and UK BilEVE genotyping arrays.</w:t>
      </w:r>
      <w:r w:rsidRPr="00EF1C62">
        <w:rPr>
          <w:sz w:val="24"/>
          <w:szCs w:val="24"/>
        </w:rPr>
        <w:br w:type="page"/>
      </w:r>
    </w:p>
    <w:p w14:paraId="7086B371" w14:textId="77777777" w:rsidR="00E949DB" w:rsidRPr="00EF1C62" w:rsidRDefault="0060077A">
      <w:pPr>
        <w:rPr>
          <w:sz w:val="24"/>
          <w:szCs w:val="24"/>
        </w:rPr>
      </w:pPr>
      <w:r w:rsidRPr="00EF1C62">
        <w:rPr>
          <w:noProof/>
          <w:sz w:val="24"/>
          <w:szCs w:val="24"/>
          <w:lang w:val="en-US"/>
        </w:rPr>
        <w:lastRenderedPageBreak/>
        <w:drawing>
          <wp:inline distT="0" distB="0" distL="0" distR="0" wp14:anchorId="4B9C560C" wp14:editId="479DE88B">
            <wp:extent cx="5943600" cy="2390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
                    <a:stretch>
                      <a:fillRect/>
                    </a:stretch>
                  </pic:blipFill>
                  <pic:spPr bwMode="auto">
                    <a:xfrm>
                      <a:off x="0" y="0"/>
                      <a:ext cx="5943600" cy="2390775"/>
                    </a:xfrm>
                    <a:prstGeom prst="rect">
                      <a:avLst/>
                    </a:prstGeom>
                  </pic:spPr>
                </pic:pic>
              </a:graphicData>
            </a:graphic>
          </wp:inline>
        </w:drawing>
      </w:r>
    </w:p>
    <w:p w14:paraId="7A9EE6F7" w14:textId="77777777" w:rsidR="00E949DB" w:rsidRPr="00EF1C62" w:rsidRDefault="00E949DB">
      <w:pPr>
        <w:rPr>
          <w:sz w:val="24"/>
          <w:szCs w:val="24"/>
        </w:rPr>
      </w:pPr>
    </w:p>
    <w:p w14:paraId="17D76129" w14:textId="4375FEB9" w:rsidR="00E949DB" w:rsidRPr="00EF1C62" w:rsidRDefault="0060077A" w:rsidP="000038E3">
      <w:pPr>
        <w:spacing w:line="360" w:lineRule="auto"/>
        <w:rPr>
          <w:sz w:val="24"/>
          <w:szCs w:val="24"/>
        </w:rPr>
      </w:pPr>
      <w:r w:rsidRPr="00EF1C62">
        <w:rPr>
          <w:b/>
          <w:sz w:val="24"/>
          <w:szCs w:val="24"/>
        </w:rPr>
        <w:t>Supplementary Figure 1. Permutation of genetic sex to generate a null distribution demonstrates that p-values are well calibrated.</w:t>
      </w:r>
      <w:r w:rsidRPr="00EF1C62">
        <w:rPr>
          <w:sz w:val="24"/>
          <w:szCs w:val="24"/>
        </w:rPr>
        <w:t xml:space="preserve"> We randomly permuted genetic sex and ran a genome-wide association test between the permuted females and males in the </w:t>
      </w:r>
      <w:r w:rsidRPr="00EF1C62">
        <w:rPr>
          <w:b/>
          <w:sz w:val="24"/>
          <w:szCs w:val="24"/>
        </w:rPr>
        <w:t>(A)</w:t>
      </w:r>
      <w:r w:rsidRPr="00EF1C62">
        <w:rPr>
          <w:sz w:val="24"/>
          <w:szCs w:val="24"/>
        </w:rPr>
        <w:t xml:space="preserve"> UK Biobank and </w:t>
      </w:r>
      <w:r w:rsidRPr="00EF1C62">
        <w:rPr>
          <w:b/>
          <w:sz w:val="24"/>
          <w:szCs w:val="24"/>
        </w:rPr>
        <w:t>(B,C)</w:t>
      </w:r>
      <w:r w:rsidRPr="00EF1C62">
        <w:rPr>
          <w:sz w:val="24"/>
          <w:szCs w:val="24"/>
        </w:rPr>
        <w:t xml:space="preserve"> BioVU cohort 100 times. Only those variants with a p-value &lt; 0.01 under the association with the true genetic sex are considered (n</w:t>
      </w:r>
      <w:r w:rsidRPr="00EF1C62">
        <w:rPr>
          <w:sz w:val="24"/>
          <w:szCs w:val="24"/>
          <w:vertAlign w:val="subscript"/>
        </w:rPr>
        <w:t>UK</w:t>
      </w:r>
      <w:r w:rsidRPr="00EF1C62">
        <w:rPr>
          <w:sz w:val="24"/>
          <w:szCs w:val="24"/>
        </w:rPr>
        <w:t xml:space="preserve"> = 8,868 SNPs, n</w:t>
      </w:r>
      <w:r w:rsidRPr="00EF1C62">
        <w:rPr>
          <w:sz w:val="24"/>
          <w:szCs w:val="24"/>
          <w:vertAlign w:val="subscript"/>
        </w:rPr>
        <w:t>BioVU</w:t>
      </w:r>
      <w:r w:rsidRPr="00EF1C62">
        <w:rPr>
          <w:sz w:val="24"/>
          <w:szCs w:val="24"/>
        </w:rPr>
        <w:t xml:space="preserve"> = 8,243 SNPs). The Q-Q plot of all the permuted variants shows they are uniformly distributed</w:t>
      </w:r>
      <w:r w:rsidR="00E75D07" w:rsidRPr="00EF1C62">
        <w:rPr>
          <w:sz w:val="24"/>
          <w:szCs w:val="24"/>
        </w:rPr>
        <w:t xml:space="preserve"> (mean lambda_gc: UK Biobank = 1.01, BioVU = 0.99)</w:t>
      </w:r>
      <w:r w:rsidRPr="00EF1C62">
        <w:rPr>
          <w:sz w:val="24"/>
          <w:szCs w:val="24"/>
        </w:rPr>
        <w:t>, even at very small p-values (</w:t>
      </w:r>
      <w:r w:rsidR="00E75D07" w:rsidRPr="00EF1C62">
        <w:rPr>
          <w:sz w:val="24"/>
          <w:szCs w:val="24"/>
        </w:rPr>
        <w:t>panel A</w:t>
      </w:r>
      <w:r w:rsidRPr="00EF1C62">
        <w:rPr>
          <w:sz w:val="24"/>
          <w:szCs w:val="24"/>
        </w:rPr>
        <w:t xml:space="preserve"> inset</w:t>
      </w:r>
      <w:r w:rsidR="00E75D07" w:rsidRPr="00EF1C62">
        <w:rPr>
          <w:sz w:val="24"/>
          <w:szCs w:val="24"/>
        </w:rPr>
        <w:t xml:space="preserve"> and panel C</w:t>
      </w:r>
      <w:r w:rsidRPr="00EF1C62">
        <w:rPr>
          <w:sz w:val="24"/>
          <w:szCs w:val="24"/>
        </w:rPr>
        <w:t>).</w:t>
      </w:r>
      <w:r w:rsidRPr="00EF1C62">
        <w:rPr>
          <w:sz w:val="24"/>
          <w:szCs w:val="24"/>
        </w:rPr>
        <w:br w:type="page"/>
      </w:r>
    </w:p>
    <w:p w14:paraId="3CB73344" w14:textId="77777777" w:rsidR="00E949DB" w:rsidRPr="00EF1C62" w:rsidRDefault="0060077A">
      <w:pPr>
        <w:rPr>
          <w:sz w:val="24"/>
          <w:szCs w:val="24"/>
        </w:rPr>
      </w:pPr>
      <w:r w:rsidRPr="00EF1C62">
        <w:rPr>
          <w:noProof/>
          <w:sz w:val="24"/>
          <w:szCs w:val="24"/>
          <w:lang w:val="en-US"/>
        </w:rPr>
        <w:lastRenderedPageBreak/>
        <w:drawing>
          <wp:inline distT="0" distB="0" distL="0" distR="0" wp14:anchorId="0FEF02B4" wp14:editId="5F475D93">
            <wp:extent cx="5943600" cy="5943600"/>
            <wp:effectExtent l="0" t="0" r="0" b="0"/>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png"/>
                    <pic:cNvPicPr>
                      <a:picLocks noChangeAspect="1" noChangeArrowheads="1"/>
                    </pic:cNvPicPr>
                  </pic:nvPicPr>
                  <pic:blipFill>
                    <a:blip r:embed="rId8"/>
                    <a:stretch>
                      <a:fillRect/>
                    </a:stretch>
                  </pic:blipFill>
                  <pic:spPr bwMode="auto">
                    <a:xfrm>
                      <a:off x="0" y="0"/>
                      <a:ext cx="5943600" cy="5943600"/>
                    </a:xfrm>
                    <a:prstGeom prst="rect">
                      <a:avLst/>
                    </a:prstGeom>
                  </pic:spPr>
                </pic:pic>
              </a:graphicData>
            </a:graphic>
          </wp:inline>
        </w:drawing>
      </w:r>
    </w:p>
    <w:p w14:paraId="5B369B95" w14:textId="77777777" w:rsidR="00E949DB" w:rsidRPr="00EF1C62" w:rsidRDefault="00E949DB">
      <w:pPr>
        <w:rPr>
          <w:sz w:val="24"/>
          <w:szCs w:val="24"/>
        </w:rPr>
      </w:pPr>
    </w:p>
    <w:p w14:paraId="7375A67C" w14:textId="08201BD1" w:rsidR="00E949DB" w:rsidRPr="00EF1C62" w:rsidRDefault="0060077A" w:rsidP="000038E3">
      <w:pPr>
        <w:rPr>
          <w:sz w:val="24"/>
          <w:szCs w:val="24"/>
        </w:rPr>
      </w:pPr>
      <w:r w:rsidRPr="00EF1C62">
        <w:rPr>
          <w:b/>
          <w:sz w:val="24"/>
          <w:szCs w:val="24"/>
        </w:rPr>
        <w:t xml:space="preserve">Supplementary Figure 2. Significantly different variant missingness between females and males contribute many spurious association in the UK Biobank GWAS for genetic sex. </w:t>
      </w:r>
      <w:r w:rsidRPr="00EF1C62">
        <w:rPr>
          <w:sz w:val="24"/>
          <w:szCs w:val="24"/>
        </w:rPr>
        <w:t xml:space="preserve">After running a GWAS for genetic sex in </w:t>
      </w:r>
      <w:r w:rsidRPr="00EF1C62">
        <w:rPr>
          <w:b/>
          <w:sz w:val="24"/>
          <w:szCs w:val="24"/>
        </w:rPr>
        <w:t>(A)</w:t>
      </w:r>
      <w:r w:rsidRPr="00EF1C62">
        <w:rPr>
          <w:sz w:val="24"/>
          <w:szCs w:val="24"/>
        </w:rPr>
        <w:t xml:space="preserve"> BioVU and </w:t>
      </w:r>
      <w:r w:rsidRPr="00EF1C62">
        <w:rPr>
          <w:b/>
          <w:sz w:val="24"/>
          <w:szCs w:val="24"/>
        </w:rPr>
        <w:t>(B)</w:t>
      </w:r>
      <w:r w:rsidRPr="00EF1C62">
        <w:rPr>
          <w:sz w:val="24"/>
          <w:szCs w:val="24"/>
        </w:rPr>
        <w:t xml:space="preserve"> UK Biobank cohorts, we identify five and 72 variants with genome-wide significant associations (solid red line, P &lt; 5</w:t>
      </w:r>
      <w:r w:rsidR="00E75D07" w:rsidRPr="00EF1C62">
        <w:rPr>
          <w:sz w:val="24"/>
          <w:szCs w:val="24"/>
        </w:rPr>
        <w:t>^</w:t>
      </w:r>
      <w:r w:rsidRPr="00EF1C62">
        <w:rPr>
          <w:sz w:val="24"/>
          <w:szCs w:val="24"/>
        </w:rPr>
        <w:t>-8; dashed red line P &lt; 5</w:t>
      </w:r>
      <w:r w:rsidR="00E75D07" w:rsidRPr="00EF1C62">
        <w:rPr>
          <w:sz w:val="24"/>
          <w:szCs w:val="24"/>
        </w:rPr>
        <w:t>^</w:t>
      </w:r>
      <w:r w:rsidRPr="00EF1C62">
        <w:rPr>
          <w:sz w:val="24"/>
          <w:szCs w:val="24"/>
        </w:rPr>
        <w:t xml:space="preserve">-6) respectively. Variants with a statistically significant difference (p &lt; 0.00001, Fisher’s Exact test) in the missing rate between females and males are colored in red. In the UK Biobank cohort, 64 genome-wide significant variants also have a statistically significant difference in the missingness between cases and control, suggesting that these associations are spurious. </w:t>
      </w:r>
      <w:r w:rsidRPr="00EF1C62">
        <w:rPr>
          <w:sz w:val="24"/>
          <w:szCs w:val="24"/>
        </w:rPr>
        <w:br w:type="page"/>
      </w:r>
    </w:p>
    <w:p w14:paraId="0380C9A1" w14:textId="77777777" w:rsidR="00E949DB" w:rsidRPr="00EF1C62" w:rsidRDefault="0060077A">
      <w:pPr>
        <w:rPr>
          <w:sz w:val="24"/>
          <w:szCs w:val="24"/>
        </w:rPr>
      </w:pPr>
      <w:r w:rsidRPr="00EF1C62">
        <w:rPr>
          <w:noProof/>
          <w:sz w:val="24"/>
          <w:szCs w:val="24"/>
          <w:lang w:val="en-US"/>
        </w:rPr>
        <w:lastRenderedPageBreak/>
        <w:drawing>
          <wp:inline distT="0" distB="0" distL="0" distR="0" wp14:anchorId="4FDDB45B" wp14:editId="075CECBD">
            <wp:extent cx="5943600" cy="1458595"/>
            <wp:effectExtent l="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pic:cNvPicPr>
                      <a:picLocks noChangeAspect="1" noChangeArrowheads="1"/>
                    </pic:cNvPicPr>
                  </pic:nvPicPr>
                  <pic:blipFill>
                    <a:blip r:embed="rId9"/>
                    <a:stretch>
                      <a:fillRect/>
                    </a:stretch>
                  </pic:blipFill>
                  <pic:spPr bwMode="auto">
                    <a:xfrm>
                      <a:off x="0" y="0"/>
                      <a:ext cx="5943600" cy="1458595"/>
                    </a:xfrm>
                    <a:prstGeom prst="rect">
                      <a:avLst/>
                    </a:prstGeom>
                  </pic:spPr>
                </pic:pic>
              </a:graphicData>
            </a:graphic>
          </wp:inline>
        </w:drawing>
      </w:r>
    </w:p>
    <w:p w14:paraId="7EC3CC39" w14:textId="77777777" w:rsidR="00E949DB" w:rsidRPr="00EF1C62" w:rsidRDefault="00E949DB">
      <w:pPr>
        <w:spacing w:line="240" w:lineRule="auto"/>
        <w:rPr>
          <w:sz w:val="24"/>
          <w:szCs w:val="24"/>
        </w:rPr>
      </w:pPr>
    </w:p>
    <w:p w14:paraId="387EA363" w14:textId="77777777" w:rsidR="00E949DB" w:rsidRPr="00EF1C62" w:rsidRDefault="00E949DB">
      <w:pPr>
        <w:spacing w:line="240" w:lineRule="auto"/>
        <w:rPr>
          <w:sz w:val="24"/>
          <w:szCs w:val="24"/>
        </w:rPr>
      </w:pPr>
    </w:p>
    <w:p w14:paraId="4614CCC5" w14:textId="46D01FA7" w:rsidR="00E949DB" w:rsidRPr="00EF1C62" w:rsidRDefault="0060077A" w:rsidP="000038E3">
      <w:pPr>
        <w:spacing w:line="360" w:lineRule="auto"/>
        <w:rPr>
          <w:sz w:val="24"/>
          <w:szCs w:val="24"/>
        </w:rPr>
      </w:pPr>
      <w:r w:rsidRPr="00EF1C62">
        <w:rPr>
          <w:b/>
          <w:sz w:val="24"/>
          <w:szCs w:val="24"/>
        </w:rPr>
        <w:t xml:space="preserve">Supplementary Figure 3. Sequence similarity distribution of probes after applying strict matching criteria to a sex chromosome. </w:t>
      </w:r>
      <w:r w:rsidRPr="00EF1C62">
        <w:rPr>
          <w:sz w:val="24"/>
          <w:szCs w:val="24"/>
        </w:rPr>
        <w:t>To identify probes likely to mis-hybridize between autosomal and sex chromosome sequences, we first identified BLAT matches with ≥ 40 base pairs in length and the matching region overlapping the genotyped variant and plot the distribution of the sequence similarity in (A) BioVU and (B) UK biobank. Our final criteria considered probes with sequence similarity ≥ 90%, in addition to the aforementioned criteria, as candidate for mis-hybridization. Out of all autosomal probes evaluated with BLAT, 0.57% and 3.3% met the aforementioned criteria in BioVU and UK Biobank, respectively.</w:t>
      </w:r>
      <w:r w:rsidRPr="00EF1C62">
        <w:rPr>
          <w:sz w:val="24"/>
          <w:szCs w:val="24"/>
        </w:rPr>
        <w:br w:type="page"/>
      </w:r>
    </w:p>
    <w:p w14:paraId="27008752" w14:textId="77777777" w:rsidR="00E949DB" w:rsidRPr="00EF1C62" w:rsidRDefault="0060077A">
      <w:pPr>
        <w:rPr>
          <w:sz w:val="24"/>
          <w:szCs w:val="24"/>
        </w:rPr>
      </w:pPr>
      <w:r w:rsidRPr="00EF1C62">
        <w:rPr>
          <w:noProof/>
          <w:sz w:val="24"/>
          <w:szCs w:val="24"/>
          <w:lang w:val="en-US"/>
        </w:rPr>
        <w:lastRenderedPageBreak/>
        <w:drawing>
          <wp:inline distT="0" distB="0" distL="0" distR="0" wp14:anchorId="12F2D4CC" wp14:editId="08DA4A30">
            <wp:extent cx="5943600" cy="2133600"/>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pic:cNvPicPr>
                      <a:picLocks noChangeAspect="1" noChangeArrowheads="1"/>
                    </pic:cNvPicPr>
                  </pic:nvPicPr>
                  <pic:blipFill>
                    <a:blip r:embed="rId10"/>
                    <a:srcRect b="49252"/>
                    <a:stretch>
                      <a:fillRect/>
                    </a:stretch>
                  </pic:blipFill>
                  <pic:spPr bwMode="auto">
                    <a:xfrm>
                      <a:off x="0" y="0"/>
                      <a:ext cx="5943600" cy="2133600"/>
                    </a:xfrm>
                    <a:prstGeom prst="rect">
                      <a:avLst/>
                    </a:prstGeom>
                  </pic:spPr>
                </pic:pic>
              </a:graphicData>
            </a:graphic>
          </wp:inline>
        </w:drawing>
      </w:r>
    </w:p>
    <w:p w14:paraId="5A5421E4" w14:textId="77777777" w:rsidR="00E949DB" w:rsidRPr="00EF1C62" w:rsidRDefault="00E949DB">
      <w:pPr>
        <w:rPr>
          <w:sz w:val="24"/>
          <w:szCs w:val="24"/>
        </w:rPr>
      </w:pPr>
    </w:p>
    <w:p w14:paraId="62A50307" w14:textId="6EDBAFC7" w:rsidR="00D90427" w:rsidRPr="00EF1C62" w:rsidRDefault="0060077A" w:rsidP="00E75D07">
      <w:pPr>
        <w:spacing w:line="360" w:lineRule="auto"/>
        <w:rPr>
          <w:sz w:val="24"/>
          <w:szCs w:val="24"/>
        </w:rPr>
      </w:pPr>
      <w:r w:rsidRPr="00EF1C62">
        <w:rPr>
          <w:b/>
          <w:sz w:val="24"/>
          <w:szCs w:val="24"/>
        </w:rPr>
        <w:t xml:space="preserve">Supplementary Figure 4. Probes of genome-wide significant variants with a match to sex chromosome regions have similar matching properties as non-significant variant when comparing BLAT score and match length to sequence similarity. </w:t>
      </w:r>
      <w:r w:rsidRPr="00EF1C62">
        <w:rPr>
          <w:sz w:val="24"/>
          <w:szCs w:val="24"/>
        </w:rPr>
        <w:t xml:space="preserve">Using BLAT, we identify array probe sequences with high sequence similarity (≥90%) to a sex chromosome region, have a match length ≥40 base pairs, and overlap or is adjacent on the probe sequence to the variant being genotyped. We plot bivariate kernel density estimates comparing </w:t>
      </w:r>
      <w:r w:rsidRPr="00EF1C62">
        <w:rPr>
          <w:b/>
          <w:sz w:val="24"/>
          <w:szCs w:val="24"/>
        </w:rPr>
        <w:t>(A)</w:t>
      </w:r>
      <w:r w:rsidRPr="00EF1C62">
        <w:rPr>
          <w:sz w:val="24"/>
          <w:szCs w:val="24"/>
        </w:rPr>
        <w:t xml:space="preserve"> BLAT score and </w:t>
      </w:r>
      <w:r w:rsidRPr="00EF1C62">
        <w:rPr>
          <w:b/>
          <w:sz w:val="24"/>
          <w:szCs w:val="24"/>
        </w:rPr>
        <w:t>(B)</w:t>
      </w:r>
      <w:r w:rsidRPr="00EF1C62">
        <w:rPr>
          <w:sz w:val="24"/>
          <w:szCs w:val="24"/>
        </w:rPr>
        <w:t xml:space="preserve"> match length against sequence similarity (y-axis) for BioVU and UK Biobank probe sequences. Darker blue represents areas of higher density. The position of probe sequences for genome-wide significant variants are overlaid as red markers on each plot. Comparing against the densities of the non-significant variants, probes of genome-wide significant variants occur in areas of high density suggesting they have similar matching properties as non-significant probes.</w:t>
      </w:r>
    </w:p>
    <w:sectPr w:rsidR="00D90427" w:rsidRPr="00EF1C62">
      <w:footerReference w:type="default" r:id="rId11"/>
      <w:pgSz w:w="12240" w:h="15840"/>
      <w:pgMar w:top="1440" w:right="1440" w:bottom="1440" w:left="1440" w:header="0" w:footer="576" w:gutter="0"/>
      <w:lnNumType w:countBy="1" w:distance="283" w:restart="continuous"/>
      <w:pgNumType w:start="1"/>
      <w:cols w:space="720"/>
      <w:formProt w:val="0"/>
      <w:docGrid w:linePitch="299"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207503" w14:textId="77777777" w:rsidR="007D0537" w:rsidRDefault="007D0537">
      <w:pPr>
        <w:spacing w:line="240" w:lineRule="auto"/>
      </w:pPr>
      <w:r>
        <w:separator/>
      </w:r>
    </w:p>
  </w:endnote>
  <w:endnote w:type="continuationSeparator" w:id="0">
    <w:p w14:paraId="274F27F2" w14:textId="77777777" w:rsidR="007D0537" w:rsidRDefault="007D05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1"/>
    <w:family w:val="swiss"/>
    <w:pitch w:val="variable"/>
  </w:font>
  <w:font w:name="DejaVu Sans">
    <w:altName w:val="DejaVu Sans"/>
    <w:panose1 w:val="020B0604020202020204"/>
    <w:charset w:val="00"/>
    <w:family w:val="swiss"/>
    <w:pitch w:val="variable"/>
    <w:sig w:usb0="E7002EFF" w:usb1="D200FDFF" w:usb2="0A246029" w:usb3="00000000" w:csb0="000001FF" w:csb1="00000000"/>
  </w:font>
  <w:font w:name="FreeSans">
    <w:altName w:val="Cambria"/>
    <w:panose1 w:val="020B0604020202020204"/>
    <w:charset w:val="00"/>
    <w:family w:val="roman"/>
    <w:notTrueType/>
    <w:pitch w:val="default"/>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2F2F3" w14:textId="77777777" w:rsidR="00E961BD" w:rsidRDefault="00E961BD">
    <w:pPr>
      <w:pStyle w:val="Footer"/>
      <w:ind w:right="360"/>
    </w:pPr>
    <w:r>
      <w:rPr>
        <w:noProof/>
        <w:lang w:val="en-US"/>
      </w:rPr>
      <mc:AlternateContent>
        <mc:Choice Requires="wps">
          <w:drawing>
            <wp:anchor distT="0" distB="0" distL="0" distR="0" simplePos="0" relativeHeight="38" behindDoc="0" locked="0" layoutInCell="0" allowOverlap="1" wp14:anchorId="23E40337" wp14:editId="7D5C2D3E">
              <wp:simplePos x="0" y="0"/>
              <wp:positionH relativeFrom="margin">
                <wp:align>right</wp:align>
              </wp:positionH>
              <wp:positionV relativeFrom="paragraph">
                <wp:posOffset>635</wp:posOffset>
              </wp:positionV>
              <wp:extent cx="156210" cy="160655"/>
              <wp:effectExtent l="0" t="0" r="0" b="0"/>
              <wp:wrapNone/>
              <wp:docPr id="8" name="Frame1"/>
              <wp:cNvGraphicFramePr/>
              <a:graphic xmlns:a="http://schemas.openxmlformats.org/drawingml/2006/main">
                <a:graphicData uri="http://schemas.microsoft.com/office/word/2010/wordprocessingShape">
                  <wps:wsp>
                    <wps:cNvSpPr txBox="1"/>
                    <wps:spPr>
                      <a:xfrm>
                        <a:off x="0" y="0"/>
                        <a:ext cx="156210" cy="160655"/>
                      </a:xfrm>
                      <a:prstGeom prst="rect">
                        <a:avLst/>
                      </a:prstGeom>
                      <a:solidFill>
                        <a:srgbClr val="FFFFFF">
                          <a:alpha val="0"/>
                        </a:srgbClr>
                      </a:solidFill>
                    </wps:spPr>
                    <wps:txbx>
                      <w:txbxContent>
                        <w:p w14:paraId="5440A2AD" w14:textId="77777777" w:rsidR="00E961BD" w:rsidRDefault="00E961BD">
                          <w:pPr>
                            <w:pStyle w:val="Footer"/>
                            <w:rPr>
                              <w:rStyle w:val="PageNumber"/>
                            </w:rPr>
                          </w:pPr>
                          <w:r>
                            <w:rPr>
                              <w:rStyle w:val="PageNumber"/>
                            </w:rPr>
                            <w:fldChar w:fldCharType="begin"/>
                          </w:r>
                          <w:r>
                            <w:rPr>
                              <w:rStyle w:val="PageNumber"/>
                            </w:rPr>
                            <w:instrText>PAGE</w:instrText>
                          </w:r>
                          <w:r>
                            <w:rPr>
                              <w:rStyle w:val="PageNumber"/>
                            </w:rPr>
                            <w:fldChar w:fldCharType="separate"/>
                          </w:r>
                          <w:r w:rsidR="00CF5DC0">
                            <w:rPr>
                              <w:rStyle w:val="PageNumber"/>
                              <w:noProof/>
                            </w:rPr>
                            <w:t>42</w:t>
                          </w:r>
                          <w:r>
                            <w:rPr>
                              <w:rStyle w:val="PageNumber"/>
                            </w:rPr>
                            <w:fldChar w:fldCharType="end"/>
                          </w:r>
                        </w:p>
                      </w:txbxContent>
                    </wps:txbx>
                    <wps:bodyPr lIns="0" tIns="0" rIns="0" bIns="0" anchor="t">
                      <a:spAutoFit/>
                    </wps:bodyPr>
                  </wps:wsp>
                </a:graphicData>
              </a:graphic>
            </wp:anchor>
          </w:drawing>
        </mc:Choice>
        <mc:Fallback>
          <w:pict>
            <v:shapetype w14:anchorId="23E40337" id="_x0000_t202" coordsize="21600,21600" o:spt="202" path="m,l,21600r21600,l21600,xe">
              <v:stroke joinstyle="miter"/>
              <v:path gradientshapeok="t" o:connecttype="rect"/>
            </v:shapetype>
            <v:shape id="Frame1" o:spid="_x0000_s1026" type="#_x0000_t202" style="position:absolute;margin-left:-38.9pt;margin-top:.05pt;width:12.3pt;height:12.65pt;z-index:38;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" o:allowincell="f" stroked="f">
              <v:fill opacity="0"/>
              <v:textbox style="mso-fit-shape-to-text:t" inset="0,0,0,0">
                <w:txbxContent>
                  <w:p w14:paraId="5440A2AD" w14:textId="77777777" w:rsidR="00E961BD" w:rsidRDefault="00E961BD">
                    <w:pPr>
                      <w:pStyle w:val="Footer"/>
                      <w:rPr>
                        <w:rStyle w:val="PageNumber"/>
                      </w:rPr>
                    </w:pPr>
                    <w:r>
                      <w:rPr>
                        <w:rStyle w:val="PageNumber"/>
                      </w:rPr>
                      <w:fldChar w:fldCharType="begin"/>
                    </w:r>
                    <w:r>
                      <w:rPr>
                        <w:rStyle w:val="PageNumber"/>
                      </w:rPr>
                      <w:instrText>PAGE</w:instrText>
                    </w:r>
                    <w:r>
                      <w:rPr>
                        <w:rStyle w:val="PageNumber"/>
                      </w:rPr>
                      <w:fldChar w:fldCharType="separate"/>
                    </w:r>
                    <w:r w:rsidR="00CF5DC0">
                      <w:rPr>
                        <w:rStyle w:val="PageNumber"/>
                        <w:noProof/>
                      </w:rPr>
                      <w:t>42</w:t>
                    </w:r>
                    <w:r>
                      <w:rPr>
                        <w:rStyle w:val="PageNumber"/>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B37FAA" w14:textId="77777777" w:rsidR="007D0537" w:rsidRDefault="007D0537">
      <w:pPr>
        <w:spacing w:line="240" w:lineRule="auto"/>
      </w:pPr>
      <w:r>
        <w:separator/>
      </w:r>
    </w:p>
  </w:footnote>
  <w:footnote w:type="continuationSeparator" w:id="0">
    <w:p w14:paraId="16FC72C8" w14:textId="77777777" w:rsidR="007D0537" w:rsidRDefault="007D053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9DB"/>
    <w:rsid w:val="000038E3"/>
    <w:rsid w:val="00083527"/>
    <w:rsid w:val="000A5DCE"/>
    <w:rsid w:val="000E2C07"/>
    <w:rsid w:val="000F0D34"/>
    <w:rsid w:val="00143BD2"/>
    <w:rsid w:val="00150683"/>
    <w:rsid w:val="001E46ED"/>
    <w:rsid w:val="00227CCB"/>
    <w:rsid w:val="002729D7"/>
    <w:rsid w:val="0027311C"/>
    <w:rsid w:val="002B6931"/>
    <w:rsid w:val="00360CB6"/>
    <w:rsid w:val="00372909"/>
    <w:rsid w:val="00374698"/>
    <w:rsid w:val="003809FD"/>
    <w:rsid w:val="003942FB"/>
    <w:rsid w:val="00401EA5"/>
    <w:rsid w:val="0043247C"/>
    <w:rsid w:val="0045690C"/>
    <w:rsid w:val="0048229D"/>
    <w:rsid w:val="004D14A9"/>
    <w:rsid w:val="004F6994"/>
    <w:rsid w:val="00533C69"/>
    <w:rsid w:val="00534B3B"/>
    <w:rsid w:val="0055134B"/>
    <w:rsid w:val="0055243F"/>
    <w:rsid w:val="005B340C"/>
    <w:rsid w:val="005D6A46"/>
    <w:rsid w:val="005E106C"/>
    <w:rsid w:val="005E2D8C"/>
    <w:rsid w:val="005E5ECB"/>
    <w:rsid w:val="0060077A"/>
    <w:rsid w:val="0063568B"/>
    <w:rsid w:val="00644A14"/>
    <w:rsid w:val="006A50AC"/>
    <w:rsid w:val="006B6755"/>
    <w:rsid w:val="007D0537"/>
    <w:rsid w:val="007E2682"/>
    <w:rsid w:val="00832F2C"/>
    <w:rsid w:val="00881A90"/>
    <w:rsid w:val="008A4191"/>
    <w:rsid w:val="00906A00"/>
    <w:rsid w:val="00937528"/>
    <w:rsid w:val="0095667C"/>
    <w:rsid w:val="009A5F3E"/>
    <w:rsid w:val="009B3589"/>
    <w:rsid w:val="009B6518"/>
    <w:rsid w:val="009F75A5"/>
    <w:rsid w:val="00A154B8"/>
    <w:rsid w:val="00A623CD"/>
    <w:rsid w:val="00AB56DC"/>
    <w:rsid w:val="00B53C3D"/>
    <w:rsid w:val="00B64CF8"/>
    <w:rsid w:val="00C020F1"/>
    <w:rsid w:val="00CF5DC0"/>
    <w:rsid w:val="00D90427"/>
    <w:rsid w:val="00DB2399"/>
    <w:rsid w:val="00DB41BE"/>
    <w:rsid w:val="00DE4FEB"/>
    <w:rsid w:val="00E464EB"/>
    <w:rsid w:val="00E513AE"/>
    <w:rsid w:val="00E62638"/>
    <w:rsid w:val="00E75D07"/>
    <w:rsid w:val="00E7745E"/>
    <w:rsid w:val="00E92C49"/>
    <w:rsid w:val="00E949DB"/>
    <w:rsid w:val="00E961BD"/>
    <w:rsid w:val="00EF1C62"/>
    <w:rsid w:val="00F45685"/>
    <w:rsid w:val="00FE5665"/>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BA58A9"/>
  <w15:docId w15:val="{3B7F5109-297E-AB45-9887-E56E8A5B4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9176F"/>
    <w:pPr>
      <w:spacing w:line="276" w:lineRule="auto"/>
    </w:p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outlineLvl w:val="1"/>
    </w:pPr>
    <w:rPr>
      <w:b/>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link w:val="CommentText"/>
    <w:uiPriority w:val="99"/>
    <w:qFormat/>
    <w:rPr>
      <w:sz w:val="20"/>
      <w:szCs w:val="20"/>
    </w:rPr>
  </w:style>
  <w:style w:type="character" w:styleId="CommentReference">
    <w:name w:val="annotation reference"/>
    <w:basedOn w:val="DefaultParagraphFont"/>
    <w:uiPriority w:val="99"/>
    <w:semiHidden/>
    <w:unhideWhenUsed/>
    <w:qFormat/>
    <w:rPr>
      <w:sz w:val="16"/>
      <w:szCs w:val="16"/>
    </w:rPr>
  </w:style>
  <w:style w:type="character" w:customStyle="1" w:styleId="BalloonTextChar">
    <w:name w:val="Balloon Text Char"/>
    <w:basedOn w:val="DefaultParagraphFont"/>
    <w:link w:val="BalloonText"/>
    <w:uiPriority w:val="99"/>
    <w:semiHidden/>
    <w:qFormat/>
    <w:rsid w:val="00907EA5"/>
    <w:rPr>
      <w:rFonts w:ascii="Times New Roman" w:hAnsi="Times New Roman" w:cs="Times New Roman"/>
      <w:sz w:val="18"/>
      <w:szCs w:val="18"/>
    </w:rPr>
  </w:style>
  <w:style w:type="character" w:customStyle="1" w:styleId="CommentSubjectChar">
    <w:name w:val="Comment Subject Char"/>
    <w:basedOn w:val="CommentTextChar"/>
    <w:link w:val="CommentSubject"/>
    <w:uiPriority w:val="99"/>
    <w:semiHidden/>
    <w:qFormat/>
    <w:rsid w:val="006D5F05"/>
    <w:rPr>
      <w:b/>
      <w:bCs/>
      <w:sz w:val="20"/>
      <w:szCs w:val="20"/>
    </w:rPr>
  </w:style>
  <w:style w:type="character" w:styleId="Hyperlink">
    <w:name w:val="Hyperlink"/>
    <w:rPr>
      <w:color w:val="000080"/>
      <w:u w:val="single"/>
    </w:rPr>
  </w:style>
  <w:style w:type="character" w:customStyle="1" w:styleId="FooterChar">
    <w:name w:val="Footer Char"/>
    <w:basedOn w:val="DefaultParagraphFont"/>
    <w:link w:val="Footer"/>
    <w:uiPriority w:val="99"/>
    <w:qFormat/>
    <w:rsid w:val="001F44EA"/>
  </w:style>
  <w:style w:type="character" w:styleId="PageNumber">
    <w:name w:val="page number"/>
    <w:basedOn w:val="DefaultParagraphFont"/>
    <w:uiPriority w:val="99"/>
    <w:semiHidden/>
    <w:unhideWhenUsed/>
    <w:qFormat/>
    <w:rsid w:val="001F44EA"/>
  </w:style>
  <w:style w:type="character" w:customStyle="1" w:styleId="HeaderChar">
    <w:name w:val="Header Char"/>
    <w:basedOn w:val="DefaultParagraphFont"/>
    <w:link w:val="Header"/>
    <w:uiPriority w:val="99"/>
    <w:qFormat/>
    <w:rsid w:val="001F44EA"/>
  </w:style>
  <w:style w:type="character" w:styleId="LineNumber">
    <w:name w:val="line number"/>
    <w:basedOn w:val="DefaultParagraphFont"/>
    <w:uiPriority w:val="99"/>
    <w:semiHidden/>
    <w:unhideWhenUsed/>
    <w:qFormat/>
    <w:rsid w:val="002A7127"/>
  </w:style>
  <w:style w:type="character" w:customStyle="1" w:styleId="UnresolvedMention1">
    <w:name w:val="Unresolved Mention1"/>
    <w:basedOn w:val="DefaultParagraphFont"/>
    <w:uiPriority w:val="99"/>
    <w:qFormat/>
    <w:rsid w:val="00B556E0"/>
    <w:rPr>
      <w:color w:val="605E5C"/>
      <w:shd w:val="clear" w:color="auto" w:fill="E1DFDD"/>
    </w:rPr>
  </w:style>
  <w:style w:type="character" w:customStyle="1" w:styleId="UnresolvedMention2">
    <w:name w:val="Unresolved Mention2"/>
    <w:basedOn w:val="DefaultParagraphFont"/>
    <w:uiPriority w:val="99"/>
    <w:qFormat/>
    <w:rsid w:val="00156FC1"/>
    <w:rPr>
      <w:color w:val="605E5C"/>
      <w:shd w:val="clear" w:color="auto" w:fill="E1DFDD"/>
    </w:rPr>
  </w:style>
  <w:style w:type="character" w:styleId="FollowedHyperlink">
    <w:name w:val="FollowedHyperlink"/>
    <w:basedOn w:val="DefaultParagraphFont"/>
    <w:uiPriority w:val="99"/>
    <w:semiHidden/>
    <w:unhideWhenUsed/>
    <w:rsid w:val="00956051"/>
    <w:rPr>
      <w:color w:val="800080" w:themeColor="followedHyperlink"/>
      <w:u w:val="single"/>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DejaVu Sans" w:hAnsi="Liberation Sans" w:cs="FreeSans"/>
      <w:sz w:val="28"/>
      <w:szCs w:val="28"/>
    </w:rPr>
  </w:style>
  <w:style w:type="paragraph" w:styleId="BodyText">
    <w:name w:val="Body Text"/>
    <w:basedOn w:val="Normal"/>
    <w:pPr>
      <w:spacing w:after="140"/>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BalloonText">
    <w:name w:val="Balloon Text"/>
    <w:basedOn w:val="Normal"/>
    <w:link w:val="BalloonTextChar"/>
    <w:uiPriority w:val="99"/>
    <w:semiHidden/>
    <w:unhideWhenUsed/>
    <w:qFormat/>
    <w:rsid w:val="00907EA5"/>
    <w:pPr>
      <w:spacing w:line="240" w:lineRule="auto"/>
    </w:pPr>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qFormat/>
    <w:rsid w:val="006D5F05"/>
    <w:rPr>
      <w:b/>
      <w:bCs/>
    </w:rPr>
  </w:style>
  <w:style w:type="paragraph" w:styleId="Revision">
    <w:name w:val="Revision"/>
    <w:uiPriority w:val="99"/>
    <w:semiHidden/>
    <w:qFormat/>
    <w:rsid w:val="006B67E5"/>
  </w:style>
  <w:style w:type="paragraph" w:styleId="NoSpacing">
    <w:name w:val="No Spacing"/>
    <w:uiPriority w:val="1"/>
    <w:qFormat/>
    <w:rsid w:val="00D850FA"/>
  </w:style>
  <w:style w:type="paragraph" w:customStyle="1" w:styleId="HeaderandFooter">
    <w:name w:val="Header and Footer"/>
    <w:basedOn w:val="Normal"/>
    <w:qFormat/>
  </w:style>
  <w:style w:type="paragraph" w:styleId="Footer">
    <w:name w:val="footer"/>
    <w:basedOn w:val="Normal"/>
    <w:link w:val="FooterChar"/>
    <w:uiPriority w:val="99"/>
    <w:unhideWhenUsed/>
    <w:rsid w:val="001F44EA"/>
    <w:pPr>
      <w:suppressLineNumbers/>
      <w:tabs>
        <w:tab w:val="center" w:pos="4680"/>
        <w:tab w:val="right" w:pos="9360"/>
      </w:tabs>
      <w:spacing w:line="240" w:lineRule="auto"/>
    </w:pPr>
  </w:style>
  <w:style w:type="paragraph" w:styleId="Header">
    <w:name w:val="header"/>
    <w:basedOn w:val="Normal"/>
    <w:link w:val="HeaderChar"/>
    <w:uiPriority w:val="99"/>
    <w:unhideWhenUsed/>
    <w:rsid w:val="001F44EA"/>
    <w:pPr>
      <w:suppressLineNumbers/>
      <w:tabs>
        <w:tab w:val="center" w:pos="4680"/>
        <w:tab w:val="right" w:pos="9360"/>
      </w:tabs>
      <w:spacing w:line="240" w:lineRule="auto"/>
    </w:pPr>
  </w:style>
  <w:style w:type="paragraph" w:styleId="ListParagraph">
    <w:name w:val="List Paragraph"/>
    <w:basedOn w:val="Normal"/>
    <w:uiPriority w:val="34"/>
    <w:qFormat/>
    <w:rsid w:val="00D40899"/>
    <w:pPr>
      <w:ind w:left="720"/>
      <w:contextualSpacing/>
    </w:pPr>
  </w:style>
  <w:style w:type="paragraph" w:customStyle="1" w:styleId="FrameContents">
    <w:name w:val="Frame Contents"/>
    <w:basedOn w:val="Normal"/>
    <w:qFormat/>
  </w:style>
  <w:style w:type="table" w:styleId="TableGrid">
    <w:name w:val="Table Grid"/>
    <w:basedOn w:val="TableNormal"/>
    <w:uiPriority w:val="39"/>
    <w:rsid w:val="009C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237E13-467D-1B4B-8053-A5427C810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1133</Words>
  <Characters>6461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Phillips</dc:creator>
  <dc:description/>
  <cp:lastModifiedBy>Abin Abraham</cp:lastModifiedBy>
  <cp:revision>2</cp:revision>
  <cp:lastPrinted>2020-03-25T21:34:00Z</cp:lastPrinted>
  <dcterms:created xsi:type="dcterms:W3CDTF">2020-11-18T03:32:00Z</dcterms:created>
  <dcterms:modified xsi:type="dcterms:W3CDTF">2020-11-18T03:32:00Z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PAPERS2_INFO_01">
    <vt:lpwstr>&lt;info&gt;&lt;style id="http://www.zotero.org/styles/genetics"/&gt;&lt;format class="21"/&gt;&lt;count citations="62" publications="46"/&gt;&lt;/info&gt;PAPERS2_INFO_END</vt:lpwstr>
  </property>
  <property fmtid="{D5CDD505-2E9C-101B-9397-08002B2CF9AE}" pid="7" name="ScaleCrop">
    <vt:bool>false</vt:bool>
  </property>
  <property fmtid="{D5CDD505-2E9C-101B-9397-08002B2CF9AE}" pid="8" name="ShareDoc">
    <vt:bool>false</vt:bool>
  </property>
</Properties>
</file>