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E9" w:rsidRPr="004728BE" w:rsidRDefault="00CE70E9" w:rsidP="00581AEC">
      <w:pPr>
        <w:spacing w:after="0" w:line="336" w:lineRule="auto"/>
        <w:jc w:val="both"/>
        <w:rPr>
          <w:rFonts w:ascii="Arial" w:hAnsi="Arial" w:cs="Arial"/>
          <w:b/>
        </w:rPr>
      </w:pPr>
      <w:r w:rsidRPr="004728BE">
        <w:rPr>
          <w:rFonts w:ascii="Arial" w:hAnsi="Arial" w:cs="Arial"/>
          <w:b/>
        </w:rPr>
        <w:t>Supplementary methods</w:t>
      </w:r>
      <w:r w:rsidR="00581AEC">
        <w:rPr>
          <w:rFonts w:ascii="Arial" w:hAnsi="Arial" w:cs="Arial"/>
          <w:b/>
        </w:rPr>
        <w:t xml:space="preserve">: </w:t>
      </w:r>
      <w:r w:rsidR="00581AEC" w:rsidRPr="004728BE">
        <w:rPr>
          <w:rFonts w:ascii="Arial" w:hAnsi="Arial" w:cs="Arial"/>
          <w:b/>
        </w:rPr>
        <w:t>Statistical analysis</w:t>
      </w:r>
    </w:p>
    <w:p w:rsidR="00CE70E9" w:rsidRPr="004728BE" w:rsidRDefault="00CE70E9" w:rsidP="00581AEC">
      <w:pPr>
        <w:spacing w:after="0" w:line="336" w:lineRule="auto"/>
        <w:jc w:val="both"/>
        <w:rPr>
          <w:rFonts w:ascii="Arial" w:hAnsi="Arial" w:cs="Arial"/>
        </w:rPr>
      </w:pPr>
      <w:r w:rsidRPr="004728BE">
        <w:rPr>
          <w:rFonts w:ascii="Arial" w:hAnsi="Arial" w:cs="Arial"/>
        </w:rPr>
        <w:t xml:space="preserve">Statistical analyses were performed with R version </w:t>
      </w:r>
      <w:proofErr w:type="gramStart"/>
      <w:r w:rsidRPr="004728BE">
        <w:rPr>
          <w:rFonts w:ascii="Arial" w:hAnsi="Arial" w:cs="Arial"/>
        </w:rPr>
        <w:t>3.6,</w:t>
      </w:r>
      <w:proofErr w:type="gramEnd"/>
      <w:r w:rsidRPr="004728BE">
        <w:rPr>
          <w:rFonts w:ascii="Arial" w:hAnsi="Arial" w:cs="Arial"/>
        </w:rPr>
        <w:t xml:space="preserve"> scripts are available as supplementary material. Significance for the statistical tests was coded in the figures based on the p-values: ***: 0 &lt; p &lt; 0.001;</w:t>
      </w:r>
      <w:proofErr w:type="gramStart"/>
      <w:r w:rsidRPr="004728BE">
        <w:rPr>
          <w:rFonts w:ascii="Arial" w:hAnsi="Arial" w:cs="Arial"/>
        </w:rPr>
        <w:t>  *</w:t>
      </w:r>
      <w:proofErr w:type="gramEnd"/>
      <w:r w:rsidRPr="004728BE">
        <w:rPr>
          <w:rFonts w:ascii="Arial" w:hAnsi="Arial" w:cs="Arial"/>
        </w:rPr>
        <w:t>*: 0.001 &lt; p &lt; 0.01; *: 0.01 &lt; p &lt; 0.05. P-values were corrected for multiple testing by a Holm-</w:t>
      </w:r>
      <w:proofErr w:type="spellStart"/>
      <w:r w:rsidRPr="004728BE">
        <w:rPr>
          <w:rFonts w:ascii="Arial" w:hAnsi="Arial" w:cs="Arial"/>
        </w:rPr>
        <w:t>Bonferroni</w:t>
      </w:r>
      <w:proofErr w:type="spellEnd"/>
      <w:r w:rsidRPr="004728BE">
        <w:rPr>
          <w:rFonts w:ascii="Arial" w:hAnsi="Arial" w:cs="Arial"/>
        </w:rPr>
        <w:t xml:space="preserve"> method </w:t>
      </w:r>
      <w:r w:rsidRPr="004728BE">
        <w:rPr>
          <w:rFonts w:ascii="Arial" w:hAnsi="Arial" w:cs="Arial"/>
        </w:rPr>
        <w:fldChar w:fldCharType="begin"/>
      </w:r>
      <w:r w:rsidRPr="004728BE">
        <w:rPr>
          <w:rFonts w:ascii="Arial" w:hAnsi="Arial" w:cs="Arial"/>
        </w:rPr>
        <w:instrText xml:space="preserve"> ADDIN EN.CITE &lt;EndNote&gt;&lt;Cite&gt;&lt;Author&gt;Holm&lt;/Author&gt;&lt;Year&gt;1079&lt;/Year&gt;&lt;RecNum&gt;1107&lt;/RecNum&gt;&lt;DisplayText&gt;(&lt;style face="smallcaps"&gt;Holm&lt;/style&gt; 1079)&lt;/DisplayText&gt;&lt;record&gt;&lt;rec-number&gt;1107&lt;/rec-number&gt;&lt;foreign-keys&gt;&lt;key app="EN" db-id="2wtpva9pu2r5scedez6par0epfd9xd5zpz5r" timestamp="1554205657"&gt;1107&lt;/key&gt;&lt;/foreign-keys&gt;&lt;ref-type name="Journal Article"&gt;17&lt;/ref-type&gt;&lt;contributors&gt;&lt;authors&gt;&lt;author&gt;Holm, S.&lt;/author&gt;&lt;/authors&gt;&lt;/contributors&gt;&lt;titles&gt;&lt;title&gt;A simple sequentially rejective multiple test procedure&lt;/title&gt;&lt;secondary-title&gt;Scand J Statist&lt;/secondary-title&gt;&lt;/titles&gt;&lt;periodical&gt;&lt;full-title&gt;Scand J Statist&lt;/full-title&gt;&lt;/periodical&gt;&lt;volume&gt;6&lt;/volume&gt;&lt;number&gt;65-70&lt;/number&gt;&lt;dates&gt;&lt;year&gt;1079&lt;/year&gt;&lt;/dates&gt;&lt;urls&gt;&lt;/urls&gt;&lt;/record&gt;&lt;/Cite&gt;&lt;/EndNote&gt;</w:instrText>
      </w:r>
      <w:r w:rsidRPr="004728BE">
        <w:rPr>
          <w:rFonts w:ascii="Arial" w:hAnsi="Arial" w:cs="Arial"/>
        </w:rPr>
        <w:fldChar w:fldCharType="separate"/>
      </w:r>
      <w:r w:rsidRPr="004728BE">
        <w:rPr>
          <w:rFonts w:ascii="Arial" w:hAnsi="Arial" w:cs="Arial"/>
          <w:noProof/>
        </w:rPr>
        <w:t>(</w:t>
      </w:r>
      <w:r w:rsidRPr="004728BE">
        <w:rPr>
          <w:rFonts w:ascii="Arial" w:hAnsi="Arial" w:cs="Arial"/>
          <w:smallCaps/>
          <w:noProof/>
        </w:rPr>
        <w:t>Holm</w:t>
      </w:r>
      <w:r w:rsidRPr="004728BE">
        <w:rPr>
          <w:rFonts w:ascii="Arial" w:hAnsi="Arial" w:cs="Arial"/>
          <w:noProof/>
        </w:rPr>
        <w:t xml:space="preserve"> 1079)</w:t>
      </w:r>
      <w:r w:rsidRPr="004728BE">
        <w:rPr>
          <w:rFonts w:ascii="Arial" w:hAnsi="Arial" w:cs="Arial"/>
        </w:rPr>
        <w:fldChar w:fldCharType="end"/>
      </w:r>
      <w:r w:rsidRPr="004728BE">
        <w:rPr>
          <w:rFonts w:ascii="Arial" w:hAnsi="Arial" w:cs="Arial"/>
        </w:rPr>
        <w:t xml:space="preserve">. Clone sizes were analyzed with a mixed-effect linear model on the logarithm of cell area, considering the treatment (Genotype and Sucrose conditions) as a fixed effects and Series/Larva as random effects (Figures 1, 5, and 7, Table S1). </w:t>
      </w:r>
      <w:proofErr w:type="gramStart"/>
      <w:r w:rsidRPr="004728BE">
        <w:rPr>
          <w:rFonts w:ascii="Arial" w:hAnsi="Arial" w:cs="Arial"/>
        </w:rPr>
        <w:t>The reported effects (and the corresponding P-values) were obtained from the difference between the (log) area of marked clonal cells and that of control surrounding cells from the same treatment, by setting the appropriate contrast with the “</w:t>
      </w:r>
      <w:proofErr w:type="spellStart"/>
      <w:r w:rsidRPr="004728BE">
        <w:rPr>
          <w:rFonts w:ascii="Arial" w:hAnsi="Arial" w:cs="Arial"/>
        </w:rPr>
        <w:t>multcomp</w:t>
      </w:r>
      <w:proofErr w:type="spellEnd"/>
      <w:r w:rsidRPr="004728BE">
        <w:rPr>
          <w:rFonts w:ascii="Arial" w:hAnsi="Arial" w:cs="Arial"/>
        </w:rPr>
        <w:t xml:space="preserve">” package </w:t>
      </w:r>
      <w:r w:rsidRPr="004728BE">
        <w:rPr>
          <w:rFonts w:ascii="Arial" w:hAnsi="Arial" w:cs="Arial"/>
        </w:rPr>
        <w:fldChar w:fldCharType="begin"/>
      </w:r>
      <w:r w:rsidRPr="004728BE">
        <w:rPr>
          <w:rFonts w:ascii="Arial" w:hAnsi="Arial" w:cs="Arial"/>
        </w:rPr>
        <w:instrText xml:space="preserve"> ADDIN EN.CITE &lt;EndNote&gt;&lt;Cite&gt;&lt;Author&gt;Hothorn&lt;/Author&gt;&lt;Year&gt;2008&lt;/Year&gt;&lt;RecNum&gt;1109&lt;/RecNum&gt;&lt;DisplayText&gt;(&lt;style face="smallcaps"&gt;Hothorn&lt;/style&gt;&lt;style face="italic"&gt; et al.&lt;/style&gt; 2008)&lt;/DisplayText&gt;&lt;record&gt;&lt;rec-number&gt;1109&lt;/rec-number&gt;&lt;foreign-keys&gt;&lt;key app="EN" db-id="2wtpva9pu2r5scedez6par0epfd9xd5zpz5r" timestamp="1554217210"&gt;1109&lt;/key&gt;&lt;/foreign-keys&gt;&lt;ref-type name="Journal Article"&gt;17&lt;/ref-type&gt;&lt;contributors&gt;&lt;authors&gt;&lt;author&gt;Hothorn, T.&lt;/author&gt;&lt;author&gt;Bretz, F.&lt;/author&gt;&lt;author&gt;Westfall, P.&lt;/author&gt;&lt;/authors&gt;&lt;/contributors&gt;&lt;auth-address&gt;Institut fur Statistik, Ludwig-Maximilians-Universitat Munchen, Ludwigstrasse 33, D-80539 Munchen, Germany. Torsten.Hothorn@stat.uni-muenchen.de&lt;/auth-address&gt;&lt;titles&gt;&lt;title&gt;Simultaneous inference in general parametric models&lt;/title&gt;&lt;secondary-title&gt;Biom J&lt;/secondary-title&gt;&lt;/titles&gt;&lt;periodical&gt;&lt;full-title&gt;Biom J&lt;/full-title&gt;&lt;/periodical&gt;&lt;pages&gt;346-63&lt;/pages&gt;&lt;volume&gt;50&lt;/volume&gt;&lt;number&gt;3&lt;/number&gt;&lt;edition&gt;2008/05/16&lt;/edition&gt;&lt;keywords&gt;&lt;keyword&gt;*Data Interpretation, Statistical&lt;/keyword&gt;&lt;keyword&gt;Humans&lt;/keyword&gt;&lt;keyword&gt;*Models, Statistical&lt;/keyword&gt;&lt;/keywords&gt;&lt;dates&gt;&lt;year&gt;2008&lt;/year&gt;&lt;pub-dates&gt;&lt;date&gt;Jun&lt;/date&gt;&lt;/pub-dates&gt;&lt;/dates&gt;&lt;isbn&gt;1521-4036 (Electronic)&amp;#xD;0323-3847 (Linking)&lt;/isbn&gt;&lt;accession-num&gt;18481363&lt;/accession-num&gt;&lt;urls&gt;&lt;related-urls&gt;&lt;url&gt;https://www.ncbi.nlm.nih.gov/pubmed/18481363&lt;/url&gt;&lt;/related-urls&gt;&lt;/urls&gt;&lt;electronic-resource-num&gt;10.1002/bimj.200810425&lt;/electronic-resource-num&gt;&lt;/record&gt;&lt;/Cite&gt;&lt;/EndNote&gt;</w:instrText>
      </w:r>
      <w:r w:rsidRPr="004728BE">
        <w:rPr>
          <w:rFonts w:ascii="Arial" w:hAnsi="Arial" w:cs="Arial"/>
        </w:rPr>
        <w:fldChar w:fldCharType="separate"/>
      </w:r>
      <w:r w:rsidRPr="004728BE">
        <w:rPr>
          <w:rFonts w:ascii="Arial" w:hAnsi="Arial" w:cs="Arial"/>
          <w:noProof/>
        </w:rPr>
        <w:t>(</w:t>
      </w:r>
      <w:r w:rsidRPr="004728BE">
        <w:rPr>
          <w:rFonts w:ascii="Arial" w:hAnsi="Arial" w:cs="Arial"/>
          <w:smallCaps/>
          <w:noProof/>
        </w:rPr>
        <w:t>Hothorn</w:t>
      </w:r>
      <w:r w:rsidRPr="004728BE">
        <w:rPr>
          <w:rFonts w:ascii="Arial" w:hAnsi="Arial" w:cs="Arial"/>
          <w:i/>
          <w:noProof/>
        </w:rPr>
        <w:t xml:space="preserve"> et al.</w:t>
      </w:r>
      <w:r w:rsidRPr="004728BE">
        <w:rPr>
          <w:rFonts w:ascii="Arial" w:hAnsi="Arial" w:cs="Arial"/>
          <w:noProof/>
        </w:rPr>
        <w:t xml:space="preserve"> 2008)</w:t>
      </w:r>
      <w:r w:rsidRPr="004728BE">
        <w:rPr>
          <w:rFonts w:ascii="Arial" w:hAnsi="Arial" w:cs="Arial"/>
        </w:rPr>
        <w:fldChar w:fldCharType="end"/>
      </w:r>
      <w:r w:rsidRPr="004728BE">
        <w:rPr>
          <w:rFonts w:ascii="Arial" w:hAnsi="Arial" w:cs="Arial"/>
        </w:rPr>
        <w:t>, according to the pattern: E</w:t>
      </w:r>
      <w:r w:rsidRPr="004728BE">
        <w:rPr>
          <w:rFonts w:ascii="Arial" w:hAnsi="Arial" w:cs="Arial"/>
          <w:vertAlign w:val="subscript"/>
        </w:rPr>
        <w:t>A,B</w:t>
      </w:r>
      <w:r w:rsidRPr="004728BE">
        <w:rPr>
          <w:rFonts w:ascii="Arial" w:hAnsi="Arial" w:cs="Arial"/>
        </w:rPr>
        <w:t xml:space="preserve"> = log(MA) – log(WA) – [log(MB) – log(WB)], where E</w:t>
      </w:r>
      <w:r w:rsidRPr="004728BE">
        <w:rPr>
          <w:rFonts w:ascii="Arial" w:hAnsi="Arial" w:cs="Arial"/>
          <w:vertAlign w:val="subscript"/>
        </w:rPr>
        <w:t>A,B</w:t>
      </w:r>
      <w:r w:rsidRPr="004728BE">
        <w:rPr>
          <w:rFonts w:ascii="Arial" w:hAnsi="Arial" w:cs="Arial"/>
        </w:rPr>
        <w:t xml:space="preserve"> is the difference between treatments (genotype and sucrose levels) A and B, M</w:t>
      </w:r>
      <w:r w:rsidRPr="004728BE">
        <w:rPr>
          <w:rFonts w:ascii="Arial" w:hAnsi="Arial" w:cs="Arial"/>
          <w:vertAlign w:val="subscript"/>
        </w:rPr>
        <w:t>A</w:t>
      </w:r>
      <w:r w:rsidRPr="004728BE">
        <w:rPr>
          <w:rFonts w:ascii="Arial" w:hAnsi="Arial" w:cs="Arial"/>
        </w:rPr>
        <w:t xml:space="preserve"> and M</w:t>
      </w:r>
      <w:r w:rsidRPr="004728BE">
        <w:rPr>
          <w:rFonts w:ascii="Arial" w:hAnsi="Arial" w:cs="Arial"/>
          <w:vertAlign w:val="subscript"/>
        </w:rPr>
        <w:t>B</w:t>
      </w:r>
      <w:r w:rsidRPr="004728BE">
        <w:rPr>
          <w:rFonts w:ascii="Arial" w:hAnsi="Arial" w:cs="Arial"/>
        </w:rPr>
        <w:t xml:space="preserve"> standing for the area of marked cells, and WA, WB for the area of control cells in those treatments.</w:t>
      </w:r>
      <w:proofErr w:type="gramEnd"/>
      <w:r w:rsidRPr="004728BE">
        <w:rPr>
          <w:rFonts w:ascii="Arial" w:hAnsi="Arial" w:cs="Arial"/>
        </w:rPr>
        <w:t xml:space="preserve"> This is equivalent to testing whether marked/control cell area ratios differ between treatments. PS6+ clone frequencies were treated as binomial measurements in a mixed-effect generalized linear model “lme4” package </w:t>
      </w:r>
      <w:r w:rsidRPr="004728BE">
        <w:rPr>
          <w:rFonts w:ascii="Arial" w:hAnsi="Arial" w:cs="Arial"/>
        </w:rPr>
        <w:fldChar w:fldCharType="begin"/>
      </w:r>
      <w:r w:rsidRPr="004728BE">
        <w:rPr>
          <w:rFonts w:ascii="Arial" w:hAnsi="Arial" w:cs="Arial"/>
        </w:rPr>
        <w:instrText xml:space="preserve"> ADDIN EN.CITE &lt;EndNote&gt;&lt;Cite&gt;&lt;Author&gt;Bates&lt;/Author&gt;&lt;Year&gt;2015&lt;/Year&gt;&lt;RecNum&gt;1110&lt;/RecNum&gt;&lt;DisplayText&gt;(&lt;style face="smallcaps"&gt;Bates&lt;/style&gt;&lt;style face="italic"&gt; et al.&lt;/style&gt; 2015)&lt;/DisplayText&gt;&lt;record&gt;&lt;rec-number&gt;1110&lt;/rec-number&gt;&lt;foreign-keys&gt;&lt;key app="EN" db-id="2wtpva9pu2r5scedez6par0epfd9xd5zpz5r" timestamp="1554217822"&gt;1110&lt;/key&gt;&lt;/foreign-keys&gt;&lt;ref-type name="Journal Article"&gt;17&lt;/ref-type&gt;&lt;contributors&gt;&lt;authors&gt;&lt;author&gt;Bates, D.&lt;/author&gt;&lt;author&gt;Mächler, M.&lt;/author&gt;&lt;author&gt;Bolker, B.M.&lt;/author&gt;&lt;author&gt;Walker, S&lt;/author&gt;&lt;/authors&gt;&lt;/contributors&gt;&lt;titles&gt;&lt;title&gt;Fitting Linear Mixed-Effects Models Using lme4&lt;/title&gt;&lt;secondary-title&gt;Journal of Statistical Software&lt;/secondary-title&gt;&lt;/titles&gt;&lt;periodical&gt;&lt;full-title&gt;Journal of Statistical Software&lt;/full-title&gt;&lt;/periodical&gt;&lt;pages&gt;1-48&lt;/pages&gt;&lt;volume&gt;67&lt;/volume&gt;&lt;number&gt;1&lt;/number&gt;&lt;dates&gt;&lt;year&gt;2015&lt;/year&gt;&lt;/dates&gt;&lt;urls&gt;&lt;/urls&gt;&lt;electronic-resource-num&gt;10.18637/jss.v067.i01&lt;/electronic-resource-num&gt;&lt;/record&gt;&lt;/Cite&gt;&lt;/EndNote&gt;</w:instrText>
      </w:r>
      <w:r w:rsidRPr="004728BE">
        <w:rPr>
          <w:rFonts w:ascii="Arial" w:hAnsi="Arial" w:cs="Arial"/>
        </w:rPr>
        <w:fldChar w:fldCharType="separate"/>
      </w:r>
      <w:r w:rsidRPr="004728BE">
        <w:rPr>
          <w:rFonts w:ascii="Arial" w:hAnsi="Arial" w:cs="Arial"/>
          <w:noProof/>
        </w:rPr>
        <w:t>(</w:t>
      </w:r>
      <w:r w:rsidRPr="004728BE">
        <w:rPr>
          <w:rFonts w:ascii="Arial" w:hAnsi="Arial" w:cs="Arial"/>
          <w:smallCaps/>
          <w:noProof/>
        </w:rPr>
        <w:t>Bates</w:t>
      </w:r>
      <w:r w:rsidRPr="004728BE">
        <w:rPr>
          <w:rFonts w:ascii="Arial" w:hAnsi="Arial" w:cs="Arial"/>
          <w:i/>
          <w:noProof/>
        </w:rPr>
        <w:t xml:space="preserve"> et al.</w:t>
      </w:r>
      <w:r w:rsidRPr="004728BE">
        <w:rPr>
          <w:rFonts w:ascii="Arial" w:hAnsi="Arial" w:cs="Arial"/>
          <w:noProof/>
        </w:rPr>
        <w:t xml:space="preserve"> 2015)</w:t>
      </w:r>
      <w:r w:rsidRPr="004728BE">
        <w:rPr>
          <w:rFonts w:ascii="Arial" w:hAnsi="Arial" w:cs="Arial"/>
        </w:rPr>
        <w:fldChar w:fldCharType="end"/>
      </w:r>
      <w:r w:rsidRPr="004728BE">
        <w:rPr>
          <w:rFonts w:ascii="Arial" w:hAnsi="Arial" w:cs="Arial"/>
        </w:rPr>
        <w:t xml:space="preserve">, featuring Genotype as a fixed effect, and Series/Larva as random effects. Both datasets of pupal weights </w:t>
      </w:r>
      <w:proofErr w:type="gramStart"/>
      <w:r w:rsidRPr="004728BE">
        <w:rPr>
          <w:rFonts w:ascii="Arial" w:hAnsi="Arial" w:cs="Arial"/>
        </w:rPr>
        <w:t>were analyzed</w:t>
      </w:r>
      <w:proofErr w:type="gramEnd"/>
      <w:r w:rsidRPr="004728BE">
        <w:rPr>
          <w:rFonts w:ascii="Arial" w:hAnsi="Arial" w:cs="Arial"/>
        </w:rPr>
        <w:t xml:space="preserve"> independently with linear models including Sex, Genotype, and Sucrose level effects and all their interaction terms (Figure 3A-B and Table S3 for PTEN knockdown and </w:t>
      </w:r>
      <w:proofErr w:type="spellStart"/>
      <w:r w:rsidRPr="004728BE">
        <w:rPr>
          <w:rFonts w:ascii="Arial" w:hAnsi="Arial" w:cs="Arial"/>
        </w:rPr>
        <w:t>Rheb</w:t>
      </w:r>
      <w:proofErr w:type="spellEnd"/>
      <w:r w:rsidRPr="004728BE">
        <w:rPr>
          <w:rFonts w:ascii="Arial" w:hAnsi="Arial" w:cs="Arial"/>
        </w:rPr>
        <w:t xml:space="preserve"> overexpression; Figure 6B and Table S4 for </w:t>
      </w:r>
      <w:r w:rsidRPr="004728BE">
        <w:rPr>
          <w:rFonts w:ascii="Arial" w:hAnsi="Arial" w:cs="Arial"/>
          <w:i/>
        </w:rPr>
        <w:t>FASN</w:t>
      </w:r>
      <w:r w:rsidRPr="004728BE">
        <w:rPr>
          <w:rFonts w:ascii="Arial" w:hAnsi="Arial" w:cs="Arial"/>
          <w:i/>
          <w:vertAlign w:val="superscript"/>
        </w:rPr>
        <w:t>1-2</w:t>
      </w:r>
      <w:r w:rsidRPr="004728BE">
        <w:rPr>
          <w:rFonts w:ascii="Arial" w:hAnsi="Arial" w:cs="Arial"/>
        </w:rPr>
        <w:t xml:space="preserve"> mutants). TAG, Protein, Glycogen, and Trehalose concentrations </w:t>
      </w:r>
      <w:proofErr w:type="gramStart"/>
      <w:r w:rsidRPr="004728BE">
        <w:rPr>
          <w:rFonts w:ascii="Arial" w:hAnsi="Arial" w:cs="Arial"/>
        </w:rPr>
        <w:t>were also analyzed</w:t>
      </w:r>
      <w:proofErr w:type="gramEnd"/>
      <w:r w:rsidRPr="004728BE">
        <w:rPr>
          <w:rFonts w:ascii="Arial" w:hAnsi="Arial" w:cs="Arial"/>
        </w:rPr>
        <w:t xml:space="preserve"> with linear models involving Genotype, Sucrose level, and their interactions as fixed effects (Figure 3 and Table S3). Survival data (Figure 4 and Table S5) were analyzed with the “survival” package </w:t>
      </w:r>
      <w:r w:rsidRPr="004728BE">
        <w:rPr>
          <w:rFonts w:ascii="Arial" w:hAnsi="Arial" w:cs="Arial"/>
        </w:rPr>
        <w:fldChar w:fldCharType="begin"/>
      </w:r>
      <w:r w:rsidRPr="004728BE">
        <w:rPr>
          <w:rFonts w:ascii="Arial" w:hAnsi="Arial" w:cs="Arial"/>
        </w:rPr>
        <w:instrText xml:space="preserve"> ADDIN EN.CITE &lt;EndNote&gt;&lt;Cite&gt;&lt;Author&gt;Therneau&lt;/Author&gt;&lt;Year&gt;2000&lt;/Year&gt;&lt;RecNum&gt;1185&lt;/RecNum&gt;&lt;DisplayText&gt;(&lt;style face="smallcaps"&gt;Therneau and Grambsch&lt;/style&gt; 2000)&lt;/DisplayText&gt;&lt;record&gt;&lt;rec-number&gt;1185&lt;/rec-number&gt;&lt;foreign-keys&gt;&lt;key app="EN" db-id="2wtpva9pu2r5scedez6par0epfd9xd5zpz5r" timestamp="1601634931"&gt;1185&lt;/key&gt;&lt;/foreign-keys&gt;&lt;ref-type name="Book"&gt;6&lt;/ref-type&gt;&lt;contributors&gt;&lt;authors&gt;&lt;author&gt;Therneau, Terry M.&lt;/author&gt;&lt;author&gt;Grambsch, Patricia M.&lt;/author&gt;&lt;/authors&gt;&lt;/contributors&gt;&lt;titles&gt;&lt;title&gt;Modeling survival data : extending the Cox model&lt;/title&gt;&lt;secondary-title&gt;Statistics for biology and health&lt;/secondary-title&gt;&lt;/titles&gt;&lt;pages&gt;xiii, 350 p.&lt;/pages&gt;&lt;keywords&gt;&lt;keyword&gt;Medicine Research Statistical methods.&lt;/keyword&gt;&lt;keyword&gt;Medicine Mathematical models.&lt;/keyword&gt;&lt;keyword&gt;Survival analysis (Biometry)&lt;/keyword&gt;&lt;/keywords&gt;&lt;dates&gt;&lt;year&gt;2000&lt;/year&gt;&lt;/dates&gt;&lt;pub-location&gt;New York&lt;/pub-location&gt;&lt;publisher&gt;Springer&lt;/publisher&gt;&lt;isbn&gt;0387987843 (alk. paper)&lt;/isbn&gt;&lt;accession-num&gt;11971558&lt;/accession-num&gt;&lt;call-num&gt;R853.S7 T47 2000&lt;/call-num&gt;&lt;urls&gt;&lt;related-urls&gt;&lt;url&gt;Publisher description http://www.loc.gov/catdir/enhancements/fy0812/00030758-d.html&lt;/url&gt;&lt;url&gt;Table of contents only http://www.loc.gov/catdir/enhancements/fy0812/00030758-t.html&lt;/url&gt;&lt;/related-urls&gt;&lt;/urls&gt;&lt;/record&gt;&lt;/Cite&gt;&lt;/EndNote&gt;</w:instrText>
      </w:r>
      <w:r w:rsidRPr="004728BE">
        <w:rPr>
          <w:rFonts w:ascii="Arial" w:hAnsi="Arial" w:cs="Arial"/>
        </w:rPr>
        <w:fldChar w:fldCharType="separate"/>
      </w:r>
      <w:r w:rsidRPr="004728BE">
        <w:rPr>
          <w:rFonts w:ascii="Arial" w:hAnsi="Arial" w:cs="Arial"/>
          <w:noProof/>
        </w:rPr>
        <w:t>(</w:t>
      </w:r>
      <w:r w:rsidRPr="004728BE">
        <w:rPr>
          <w:rFonts w:ascii="Arial" w:hAnsi="Arial" w:cs="Arial"/>
          <w:smallCaps/>
          <w:noProof/>
        </w:rPr>
        <w:t>Therneau and Grambsch</w:t>
      </w:r>
      <w:r w:rsidRPr="004728BE">
        <w:rPr>
          <w:rFonts w:ascii="Arial" w:hAnsi="Arial" w:cs="Arial"/>
          <w:noProof/>
        </w:rPr>
        <w:t xml:space="preserve"> 2000)</w:t>
      </w:r>
      <w:r w:rsidRPr="004728BE">
        <w:rPr>
          <w:rFonts w:ascii="Arial" w:hAnsi="Arial" w:cs="Arial"/>
        </w:rPr>
        <w:fldChar w:fldCharType="end"/>
      </w:r>
      <w:r w:rsidRPr="004728BE">
        <w:rPr>
          <w:rFonts w:ascii="Arial" w:hAnsi="Arial" w:cs="Arial"/>
        </w:rPr>
        <w:t xml:space="preserve">, assuming a Weibull distribution for mortality; Replicates (vials) being considered as clusters (correlated observations). </w:t>
      </w:r>
      <w:proofErr w:type="spellStart"/>
      <w:r w:rsidRPr="004728BE">
        <w:rPr>
          <w:rFonts w:ascii="Arial" w:hAnsi="Arial" w:cs="Arial"/>
        </w:rPr>
        <w:t>Pupariation</w:t>
      </w:r>
      <w:proofErr w:type="spellEnd"/>
      <w:r w:rsidRPr="004728BE">
        <w:rPr>
          <w:rFonts w:ascii="Arial" w:hAnsi="Arial" w:cs="Arial"/>
        </w:rPr>
        <w:t xml:space="preserve"> data (Figure 6A and Table S6) were analyzed with a binomial (</w:t>
      </w:r>
      <w:proofErr w:type="spellStart"/>
      <w:r w:rsidRPr="004728BE">
        <w:rPr>
          <w:rFonts w:ascii="Arial" w:hAnsi="Arial" w:cs="Arial"/>
        </w:rPr>
        <w:t>puparate</w:t>
      </w:r>
      <w:proofErr w:type="spellEnd"/>
      <w:r w:rsidRPr="004728BE">
        <w:rPr>
          <w:rFonts w:ascii="Arial" w:hAnsi="Arial" w:cs="Arial"/>
        </w:rPr>
        <w:t xml:space="preserve">/not </w:t>
      </w:r>
      <w:proofErr w:type="spellStart"/>
      <w:r w:rsidRPr="004728BE">
        <w:rPr>
          <w:rFonts w:ascii="Arial" w:hAnsi="Arial" w:cs="Arial"/>
        </w:rPr>
        <w:t>puparate</w:t>
      </w:r>
      <w:proofErr w:type="spellEnd"/>
      <w:r w:rsidRPr="004728BE">
        <w:rPr>
          <w:rFonts w:ascii="Arial" w:hAnsi="Arial" w:cs="Arial"/>
        </w:rPr>
        <w:t xml:space="preserve"> at day 15)</w:t>
      </w:r>
      <w:r w:rsidRPr="004728BE">
        <w:rPr>
          <w:rFonts w:ascii="Arial" w:hAnsi="Arial" w:cs="Arial"/>
          <w:b/>
          <w:bCs/>
        </w:rPr>
        <w:t xml:space="preserve"> </w:t>
      </w:r>
      <w:r w:rsidRPr="004728BE">
        <w:rPr>
          <w:rFonts w:ascii="Arial" w:hAnsi="Arial" w:cs="Arial"/>
        </w:rPr>
        <w:t>generalized mixed-effect model, with Genotype and Sugar as fixed effects and replicate as a random effect. A three-parameter logistic function A</w:t>
      </w:r>
      <w:proofErr w:type="gramStart"/>
      <w:r w:rsidRPr="004728BE">
        <w:rPr>
          <w:rFonts w:ascii="Arial" w:hAnsi="Arial" w:cs="Arial"/>
        </w:rPr>
        <w:t>/(</w:t>
      </w:r>
      <w:proofErr w:type="gramEnd"/>
      <w:r w:rsidRPr="004728BE">
        <w:rPr>
          <w:rFonts w:ascii="Arial" w:hAnsi="Arial" w:cs="Arial"/>
        </w:rPr>
        <w:t xml:space="preserve">[ 1 + </w:t>
      </w:r>
      <w:proofErr w:type="spellStart"/>
      <w:r w:rsidRPr="004728BE">
        <w:rPr>
          <w:rFonts w:ascii="Arial" w:hAnsi="Arial" w:cs="Arial"/>
        </w:rPr>
        <w:t>exp</w:t>
      </w:r>
      <w:proofErr w:type="spellEnd"/>
      <w:r w:rsidRPr="004728BE">
        <w:rPr>
          <w:rFonts w:ascii="Arial" w:hAnsi="Arial" w:cs="Arial"/>
        </w:rPr>
        <w:t xml:space="preserve">(- (t - x))/s ] was fitted to the temporal dynamics of emergence frequencies (A: asymptotic frequency, x: median emergence time, s: scale </w:t>
      </w:r>
      <w:proofErr w:type="spellStart"/>
      <w:r w:rsidRPr="004728BE">
        <w:rPr>
          <w:rFonts w:ascii="Arial" w:hAnsi="Arial" w:cs="Arial"/>
        </w:rPr>
        <w:t>paramter</w:t>
      </w:r>
      <w:proofErr w:type="spellEnd"/>
      <w:r w:rsidRPr="004728BE">
        <w:rPr>
          <w:rFonts w:ascii="Arial" w:hAnsi="Arial" w:cs="Arial"/>
        </w:rPr>
        <w:t xml:space="preserve">). The non-linear, mixed-effect model (package </w:t>
      </w:r>
      <w:proofErr w:type="spellStart"/>
      <w:r w:rsidRPr="004728BE">
        <w:rPr>
          <w:rFonts w:ascii="Arial" w:hAnsi="Arial" w:cs="Arial"/>
        </w:rPr>
        <w:t>nlme</w:t>
      </w:r>
      <w:proofErr w:type="spellEnd"/>
      <w:r w:rsidRPr="004728BE">
        <w:rPr>
          <w:rFonts w:ascii="Arial" w:hAnsi="Arial" w:cs="Arial"/>
        </w:rPr>
        <w:t>) considered Genotype and Sugar as fixed effects for all three logistic parameters, and Replicate (vial) as a random effect (only for A and x due to convergence issues).</w:t>
      </w:r>
      <w:bookmarkStart w:id="0" w:name="_GoBack"/>
      <w:bookmarkEnd w:id="0"/>
    </w:p>
    <w:p w:rsidR="00CE70E9" w:rsidRPr="004728BE" w:rsidRDefault="00CE70E9" w:rsidP="00581AEC">
      <w:pPr>
        <w:spacing w:before="120" w:after="0" w:line="336" w:lineRule="auto"/>
        <w:jc w:val="both"/>
        <w:rPr>
          <w:rFonts w:ascii="Arial" w:hAnsi="Arial" w:cs="Arial"/>
          <w:b/>
        </w:rPr>
      </w:pPr>
      <w:r w:rsidRPr="004728BE">
        <w:rPr>
          <w:rFonts w:ascii="Arial" w:hAnsi="Arial" w:cs="Arial"/>
          <w:b/>
        </w:rPr>
        <w:t>Supplementary references:</w:t>
      </w:r>
    </w:p>
    <w:p w:rsidR="00196A27" w:rsidRPr="004728BE" w:rsidRDefault="00196A27" w:rsidP="00581AEC">
      <w:pPr>
        <w:pStyle w:val="EndNoteBibliography"/>
        <w:spacing w:after="0" w:line="336" w:lineRule="auto"/>
        <w:ind w:left="284" w:hanging="284"/>
        <w:rPr>
          <w:rFonts w:ascii="Arial" w:hAnsi="Arial" w:cs="Arial"/>
        </w:rPr>
      </w:pPr>
      <w:r w:rsidRPr="004728BE">
        <w:rPr>
          <w:rFonts w:ascii="Arial" w:hAnsi="Arial" w:cs="Arial"/>
        </w:rPr>
        <w:fldChar w:fldCharType="begin"/>
      </w:r>
      <w:r w:rsidRPr="004728BE">
        <w:rPr>
          <w:rFonts w:ascii="Arial" w:hAnsi="Arial" w:cs="Arial"/>
        </w:rPr>
        <w:instrText xml:space="preserve"> ADDIN EN.REFLIST </w:instrText>
      </w:r>
      <w:r w:rsidRPr="004728BE">
        <w:rPr>
          <w:rFonts w:ascii="Arial" w:hAnsi="Arial" w:cs="Arial"/>
        </w:rPr>
        <w:fldChar w:fldCharType="separate"/>
      </w:r>
      <w:r w:rsidRPr="004728BE">
        <w:rPr>
          <w:rFonts w:ascii="Arial" w:hAnsi="Arial" w:cs="Arial"/>
        </w:rPr>
        <w:t>Bates, D., M. Mächler, B. M. Bolker and S. Walker, 2015 Fitting Linear Mixed-Effects Models Using lme4. Journal of Statistical Software 67</w:t>
      </w:r>
      <w:r w:rsidRPr="004728BE">
        <w:rPr>
          <w:rFonts w:ascii="Arial" w:hAnsi="Arial" w:cs="Arial"/>
          <w:b/>
        </w:rPr>
        <w:t>:</w:t>
      </w:r>
      <w:r w:rsidRPr="004728BE">
        <w:rPr>
          <w:rFonts w:ascii="Arial" w:hAnsi="Arial" w:cs="Arial"/>
        </w:rPr>
        <w:t xml:space="preserve"> 1-48.</w:t>
      </w:r>
    </w:p>
    <w:p w:rsidR="00196A27" w:rsidRPr="004728BE" w:rsidRDefault="00196A27" w:rsidP="00581AEC">
      <w:pPr>
        <w:pStyle w:val="EndNoteBibliography"/>
        <w:spacing w:after="0" w:line="336" w:lineRule="auto"/>
        <w:ind w:left="284" w:hanging="284"/>
        <w:rPr>
          <w:rFonts w:ascii="Arial" w:hAnsi="Arial" w:cs="Arial"/>
        </w:rPr>
      </w:pPr>
      <w:r w:rsidRPr="004728BE">
        <w:rPr>
          <w:rFonts w:ascii="Arial" w:hAnsi="Arial" w:cs="Arial"/>
        </w:rPr>
        <w:t>Holm, S., 1079 A simple sequentially rejective multiple test procedure. Scand J Statist 6.</w:t>
      </w:r>
    </w:p>
    <w:p w:rsidR="00196A27" w:rsidRPr="004728BE" w:rsidRDefault="00196A27" w:rsidP="00581AEC">
      <w:pPr>
        <w:pStyle w:val="EndNoteBibliography"/>
        <w:spacing w:after="0" w:line="336" w:lineRule="auto"/>
        <w:ind w:left="284" w:hanging="284"/>
        <w:rPr>
          <w:rFonts w:ascii="Arial" w:hAnsi="Arial" w:cs="Arial"/>
        </w:rPr>
      </w:pPr>
      <w:r w:rsidRPr="004728BE">
        <w:rPr>
          <w:rFonts w:ascii="Arial" w:hAnsi="Arial" w:cs="Arial"/>
        </w:rPr>
        <w:t>Hothorn, T., F. Bretz and P. Westfall, 2008 Simultaneous inference in general parametric models. Biom J 50</w:t>
      </w:r>
      <w:r w:rsidRPr="004728BE">
        <w:rPr>
          <w:rFonts w:ascii="Arial" w:hAnsi="Arial" w:cs="Arial"/>
          <w:b/>
        </w:rPr>
        <w:t>:</w:t>
      </w:r>
      <w:r w:rsidRPr="004728BE">
        <w:rPr>
          <w:rFonts w:ascii="Arial" w:hAnsi="Arial" w:cs="Arial"/>
        </w:rPr>
        <w:t xml:space="preserve"> 346-363.</w:t>
      </w:r>
    </w:p>
    <w:p w:rsidR="0096458B" w:rsidRDefault="00196A27" w:rsidP="00581AEC">
      <w:pPr>
        <w:pStyle w:val="EndNoteBibliography"/>
        <w:spacing w:after="0" w:line="336" w:lineRule="auto"/>
        <w:ind w:left="284" w:hanging="284"/>
        <w:rPr>
          <w:rFonts w:ascii="Arial" w:hAnsi="Arial" w:cs="Arial"/>
        </w:rPr>
      </w:pPr>
      <w:r w:rsidRPr="004728BE">
        <w:rPr>
          <w:rFonts w:ascii="Arial" w:hAnsi="Arial" w:cs="Arial"/>
        </w:rPr>
        <w:t xml:space="preserve">Therneau, T. M., and P. M. Grambsch, 2000 </w:t>
      </w:r>
      <w:r w:rsidRPr="004728BE">
        <w:rPr>
          <w:rFonts w:ascii="Arial" w:hAnsi="Arial" w:cs="Arial"/>
          <w:i/>
        </w:rPr>
        <w:t>Modeling survival data : extending the Cox model</w:t>
      </w:r>
      <w:r w:rsidRPr="004728BE">
        <w:rPr>
          <w:rFonts w:ascii="Arial" w:hAnsi="Arial" w:cs="Arial"/>
        </w:rPr>
        <w:t>. Springer, New York.</w:t>
      </w:r>
      <w:r w:rsidR="00581AEC">
        <w:rPr>
          <w:rFonts w:ascii="Arial" w:hAnsi="Arial" w:cs="Arial"/>
        </w:rPr>
        <w:t xml:space="preserve"> </w:t>
      </w:r>
    </w:p>
    <w:p w:rsidR="0096458B" w:rsidRPr="004728BE" w:rsidRDefault="0096458B" w:rsidP="00581AEC">
      <w:pPr>
        <w:pStyle w:val="EndNoteBibliography"/>
        <w:spacing w:after="0" w:line="336" w:lineRule="auto"/>
        <w:ind w:left="284" w:hanging="284"/>
        <w:rPr>
          <w:rFonts w:ascii="Arial" w:hAnsi="Arial" w:cs="Arial"/>
        </w:rPr>
      </w:pPr>
    </w:p>
    <w:p w:rsidR="00CE70E9" w:rsidRDefault="00196A27" w:rsidP="00581AEC">
      <w:pPr>
        <w:spacing w:after="0" w:line="336" w:lineRule="auto"/>
        <w:jc w:val="both"/>
        <w:rPr>
          <w:rFonts w:ascii="Arial" w:hAnsi="Arial" w:cs="Arial"/>
        </w:rPr>
      </w:pPr>
      <w:r w:rsidRPr="004728BE">
        <w:rPr>
          <w:rFonts w:ascii="Arial" w:hAnsi="Arial" w:cs="Arial"/>
        </w:rPr>
        <w:fldChar w:fldCharType="end"/>
      </w:r>
    </w:p>
    <w:sectPr w:rsidR="00CE70E9" w:rsidSect="00BF65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tpva9pu2r5scedez6par0epfd9xd5zpz5r&quot;&gt;Library&lt;record-ids&gt;&lt;item&gt;1107&lt;/item&gt;&lt;item&gt;1109&lt;/item&gt;&lt;item&gt;1110&lt;/item&gt;&lt;item&gt;1185&lt;/item&gt;&lt;/record-ids&gt;&lt;/item&gt;&lt;/Libraries&gt;"/>
  </w:docVars>
  <w:rsids>
    <w:rsidRoot w:val="00BF65AF"/>
    <w:rsid w:val="00070203"/>
    <w:rsid w:val="00196A27"/>
    <w:rsid w:val="004728BE"/>
    <w:rsid w:val="004B0003"/>
    <w:rsid w:val="004F59B9"/>
    <w:rsid w:val="00581AEC"/>
    <w:rsid w:val="00831F65"/>
    <w:rsid w:val="0096458B"/>
    <w:rsid w:val="00BF65AF"/>
    <w:rsid w:val="00C5005E"/>
    <w:rsid w:val="00CE70E9"/>
    <w:rsid w:val="00D2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FF78"/>
  <w15:chartTrackingRefBased/>
  <w15:docId w15:val="{3C2D7DD3-B9A8-4C4D-B7E0-1BE67A75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196A2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196A2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96A2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196A2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60E0-E033-4087-ADD3-0C100664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MONTAGNE</dc:creator>
  <cp:keywords/>
  <dc:description/>
  <cp:lastModifiedBy>Jacques MONTAGNE</cp:lastModifiedBy>
  <cp:revision>7</cp:revision>
  <dcterms:created xsi:type="dcterms:W3CDTF">2020-10-06T10:51:00Z</dcterms:created>
  <dcterms:modified xsi:type="dcterms:W3CDTF">2020-11-14T16:05:00Z</dcterms:modified>
</cp:coreProperties>
</file>