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0B158D" w14:textId="77777777" w:rsidR="000F1A82" w:rsidRPr="00527DDF" w:rsidRDefault="00527DDF">
      <w:pPr>
        <w:rPr>
          <w:rFonts w:ascii="Arial" w:hAnsi="Arial" w:cs="Arial"/>
          <w:b/>
          <w:u w:val="single"/>
          <w:lang w:val="en-US"/>
        </w:rPr>
      </w:pPr>
      <w:r w:rsidRPr="00527DDF">
        <w:rPr>
          <w:rFonts w:ascii="Arial" w:hAnsi="Arial" w:cs="Arial"/>
          <w:b/>
          <w:u w:val="single"/>
          <w:lang w:val="en-US"/>
        </w:rPr>
        <w:t>Supplemental Material</w:t>
      </w:r>
    </w:p>
    <w:p w14:paraId="08467E3E" w14:textId="77777777" w:rsidR="00527DDF" w:rsidRPr="00527DDF" w:rsidRDefault="00527DDF">
      <w:pPr>
        <w:rPr>
          <w:rFonts w:ascii="Arial" w:hAnsi="Arial" w:cs="Arial"/>
          <w:b/>
          <w:u w:val="single"/>
          <w:lang w:val="en-US"/>
        </w:rPr>
      </w:pPr>
    </w:p>
    <w:p w14:paraId="1365D6F6" w14:textId="77777777" w:rsidR="00527DDF" w:rsidRDefault="00527DDF" w:rsidP="00527DDF">
      <w:pPr>
        <w:jc w:val="center"/>
        <w:rPr>
          <w:rFonts w:ascii="Arial" w:hAnsi="Arial" w:cs="Arial"/>
          <w:lang w:val="en-US"/>
        </w:rPr>
      </w:pPr>
      <w:r>
        <w:rPr>
          <w:rFonts w:ascii="Arial" w:hAnsi="Arial" w:cs="Arial"/>
          <w:noProof/>
          <w:lang w:val="en-US"/>
        </w:rPr>
        <w:drawing>
          <wp:inline distT="0" distB="0" distL="0" distR="0" wp14:anchorId="016093EE" wp14:editId="7117BAF8">
            <wp:extent cx="5937250" cy="4162425"/>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250" cy="4162425"/>
                    </a:xfrm>
                    <a:prstGeom prst="rect">
                      <a:avLst/>
                    </a:prstGeom>
                    <a:noFill/>
                    <a:ln>
                      <a:noFill/>
                    </a:ln>
                  </pic:spPr>
                </pic:pic>
              </a:graphicData>
            </a:graphic>
          </wp:inline>
        </w:drawing>
      </w:r>
    </w:p>
    <w:p w14:paraId="44F444F4" w14:textId="77777777" w:rsidR="00527DDF" w:rsidRDefault="00527DDF" w:rsidP="00527DDF">
      <w:pPr>
        <w:jc w:val="center"/>
        <w:rPr>
          <w:rFonts w:ascii="Arial" w:hAnsi="Arial" w:cs="Arial"/>
          <w:lang w:val="en-US"/>
        </w:rPr>
      </w:pPr>
    </w:p>
    <w:p w14:paraId="6A061736" w14:textId="5E27FA6A" w:rsidR="00D80F78" w:rsidRDefault="00527DDF" w:rsidP="00527DDF">
      <w:pPr>
        <w:rPr>
          <w:rFonts w:ascii="Arial" w:hAnsi="Arial" w:cs="Arial"/>
          <w:lang w:val="en-US"/>
        </w:rPr>
      </w:pPr>
      <w:r w:rsidRPr="00527DDF">
        <w:rPr>
          <w:rFonts w:ascii="Arial" w:hAnsi="Arial" w:cs="Arial"/>
          <w:b/>
          <w:lang w:val="en-US"/>
        </w:rPr>
        <w:t>Figure S1.</w:t>
      </w:r>
      <w:r>
        <w:rPr>
          <w:rFonts w:ascii="Arial" w:hAnsi="Arial" w:cs="Arial"/>
          <w:lang w:val="en-US"/>
        </w:rPr>
        <w:t xml:space="preserve"> Raw colony size for all strains screened. Cells were pinned onto either SD media (WT) or SD media containing 300 µM AZC and grown at 30° for 5 days. Plates were imaged every 24 </w:t>
      </w:r>
      <w:proofErr w:type="spellStart"/>
      <w:r>
        <w:rPr>
          <w:rFonts w:ascii="Arial" w:hAnsi="Arial" w:cs="Arial"/>
          <w:lang w:val="en-US"/>
        </w:rPr>
        <w:t>hrs</w:t>
      </w:r>
      <w:proofErr w:type="spellEnd"/>
      <w:r>
        <w:rPr>
          <w:rFonts w:ascii="Arial" w:hAnsi="Arial" w:cs="Arial"/>
          <w:lang w:val="en-US"/>
        </w:rPr>
        <w:t xml:space="preserve"> and colony size was measured using </w:t>
      </w:r>
      <w:proofErr w:type="spellStart"/>
      <w:r>
        <w:rPr>
          <w:rFonts w:ascii="Arial" w:hAnsi="Arial" w:cs="Arial"/>
          <w:lang w:val="en-US"/>
        </w:rPr>
        <w:t>SGATools</w:t>
      </w:r>
      <w:proofErr w:type="spellEnd"/>
      <w:r>
        <w:rPr>
          <w:rFonts w:ascii="Arial" w:hAnsi="Arial" w:cs="Arial"/>
          <w:lang w:val="en-US"/>
        </w:rPr>
        <w:t xml:space="preserve"> </w:t>
      </w:r>
      <w:r>
        <w:rPr>
          <w:rFonts w:ascii="Arial" w:hAnsi="Arial" w:cs="Arial"/>
          <w:lang w:val="en-US"/>
        </w:rPr>
        <w:fldChar w:fldCharType="begin" w:fldLock="1"/>
      </w:r>
      <w:r w:rsidR="00195DFC">
        <w:rPr>
          <w:rFonts w:ascii="Arial" w:hAnsi="Arial" w:cs="Arial"/>
          <w:lang w:val="en-US"/>
        </w:rPr>
        <w:instrText>ADDIN CSL_CITATION {"citationItems":[{"id":"ITEM-1","itemData":{"DOI":"10.1109/ICCSE.2016.7581644","ISBN":"9781509022182","ISSN":"13624962","PMID":"23677617","abstract":"Screening genome-wide sets of mutants for fitness defects provides a simple but powerful approach for exploring gene function, mapping genetic networks and probing mechanisms of drug action. For yeast and other microorganisms with global mutant collections, genetic or chemical-genetic interactions can be effectively quantified by growing an ordered array of strains on agar plates as individual colonies, and then scoring the colony size changes in response to a genetic or environmental perturbation. To do so, requires efficient tools for the extraction and analysis of quantitative data. Here, we describe SGAtools (http://sgatools.ccbr.utoronto.ca), a web-based analysis system for designer genetic screens. SGAtools outlines a series of guided steps that allow the user to quantify colony sizes from images of agar plates, correct for systematic biases in the observations and calculate a fitness score relative to a control experiment. The data can also be visualized online to explore the colony sizes on individual plates, view the distribution of resulting scores, highlight genes with the strongest signal and perform Gene Ontology enrichment analysis.","author":[{"dropping-particle":"","family":"Wagih","given":"Omar","non-dropping-particle":"","parse-names":false,"suffix":""},{"dropping-particle":"","family":"Usaj","given":"Matej","non-dropping-particle":"","parse-names":false,"suffix":""},{"dropping-particle":"","family":"Baryshnikova","given":"Anastasia","non-dropping-particle":"","parse-names":false,"suffix":""},{"dropping-particle":"","family":"VanderSluis","given":"Benjamin","non-dropping-particle":"","parse-names":false,"suffix":""},{"dropping-particle":"","family":"Kuzmin","given":"Elena","non-dropping-particle":"","parse-names":false,"suffix":""},{"dropping-particle":"","family":"Costanzo","given":"Michael","non-dropping-particle":"","parse-names":false,"suffix":""},{"dropping-particle":"","family":"Myers","given":"Chad L.","non-dropping-particle":"","parse-names":false,"suffix":""},{"dropping-particle":"","family":"Andrews","given":"Brenda J.","non-dropping-particle":"","parse-names":false,"suffix":""},{"dropping-particle":"","family":"Boone","given":"Charles M.","non-dropping-particle":"","parse-names":false,"suffix":""},{"dropping-particle":"","family":"Parts","given":"Leopold","non-dropping-particle":"","parse-names":false,"suffix":""}],"container-title":"Nucleic acids research","id":"ITEM-1","issue":"Web Server issue","issued":{"date-parts":[["2013"]]},"page":"591-596","title":"SGAtools: One-stop analysis and visualization of array-based genetic interaction screens.","type":"article-journal","volume":"41"},"uris":["http://www.mendeley.com/documents/?uuid=b9cd88e3-8ccc-4a0e-a092-5e30cdd9ec67"]}],"mendeley":{"formattedCitation":"(Wagih &lt;i&gt;et al.&lt;/i&gt; 2013)","plainTextFormattedCitation":"(Wagih et al. 2013)","previouslyFormattedCitation":"(Wagih &lt;i&gt;et al.&lt;/i&gt; 2013)"},"properties":{"noteIndex":0},"schema":"https://github.com/citation-style-language/schema/raw/master/csl-citation.json"}</w:instrText>
      </w:r>
      <w:r>
        <w:rPr>
          <w:rFonts w:ascii="Arial" w:hAnsi="Arial" w:cs="Arial"/>
          <w:lang w:val="en-US"/>
        </w:rPr>
        <w:fldChar w:fldCharType="separate"/>
      </w:r>
      <w:r w:rsidRPr="00527DDF">
        <w:rPr>
          <w:rFonts w:ascii="Arial" w:hAnsi="Arial" w:cs="Arial"/>
          <w:noProof/>
          <w:lang w:val="en-US"/>
        </w:rPr>
        <w:t xml:space="preserve">(Wagih </w:t>
      </w:r>
      <w:r w:rsidRPr="00527DDF">
        <w:rPr>
          <w:rFonts w:ascii="Arial" w:hAnsi="Arial" w:cs="Arial"/>
          <w:i/>
          <w:noProof/>
          <w:lang w:val="en-US"/>
        </w:rPr>
        <w:t>et al.</w:t>
      </w:r>
      <w:r w:rsidRPr="00527DDF">
        <w:rPr>
          <w:rFonts w:ascii="Arial" w:hAnsi="Arial" w:cs="Arial"/>
          <w:noProof/>
          <w:lang w:val="en-US"/>
        </w:rPr>
        <w:t xml:space="preserve"> 2013)</w:t>
      </w:r>
      <w:r>
        <w:rPr>
          <w:rFonts w:ascii="Arial" w:hAnsi="Arial" w:cs="Arial"/>
          <w:lang w:val="en-US"/>
        </w:rPr>
        <w:fldChar w:fldCharType="end"/>
      </w:r>
      <w:r>
        <w:rPr>
          <w:rFonts w:ascii="Arial" w:hAnsi="Arial" w:cs="Arial"/>
          <w:lang w:val="en-US"/>
        </w:rPr>
        <w:t>.</w:t>
      </w:r>
    </w:p>
    <w:p w14:paraId="7071A2DC" w14:textId="77777777" w:rsidR="00D80F78" w:rsidRDefault="00D80F78">
      <w:pPr>
        <w:rPr>
          <w:rFonts w:ascii="Arial" w:hAnsi="Arial" w:cs="Arial"/>
          <w:lang w:val="en-US"/>
        </w:rPr>
      </w:pPr>
      <w:r>
        <w:rPr>
          <w:rFonts w:ascii="Arial" w:hAnsi="Arial" w:cs="Arial"/>
          <w:lang w:val="en-US"/>
        </w:rPr>
        <w:br w:type="page"/>
      </w:r>
    </w:p>
    <w:p w14:paraId="5281C742" w14:textId="77777777" w:rsidR="00D80F78" w:rsidRPr="004E10D8" w:rsidRDefault="00D80F78" w:rsidP="00D80F78">
      <w:pPr>
        <w:jc w:val="center"/>
        <w:rPr>
          <w:rFonts w:ascii="Arial" w:hAnsi="Arial" w:cs="Arial"/>
          <w:sz w:val="24"/>
          <w:szCs w:val="24"/>
        </w:rPr>
      </w:pPr>
      <w:r w:rsidRPr="004E10D8">
        <w:rPr>
          <w:rFonts w:ascii="Arial" w:hAnsi="Arial" w:cs="Arial"/>
          <w:noProof/>
          <w:sz w:val="24"/>
          <w:szCs w:val="24"/>
        </w:rPr>
        <w:lastRenderedPageBreak/>
        <w:drawing>
          <wp:inline distT="0" distB="0" distL="0" distR="0" wp14:anchorId="0D92BC9C" wp14:editId="515A5EB9">
            <wp:extent cx="3457799" cy="31483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80071" cy="3168593"/>
                    </a:xfrm>
                    <a:prstGeom prst="rect">
                      <a:avLst/>
                    </a:prstGeom>
                    <a:noFill/>
                    <a:ln>
                      <a:noFill/>
                    </a:ln>
                  </pic:spPr>
                </pic:pic>
              </a:graphicData>
            </a:graphic>
          </wp:inline>
        </w:drawing>
      </w:r>
    </w:p>
    <w:p w14:paraId="57C61A33" w14:textId="77777777" w:rsidR="00D80F78" w:rsidRPr="004E10D8" w:rsidRDefault="00D80F78" w:rsidP="00D80F78">
      <w:pPr>
        <w:jc w:val="center"/>
        <w:rPr>
          <w:rFonts w:ascii="Arial" w:hAnsi="Arial" w:cs="Arial"/>
          <w:sz w:val="24"/>
          <w:szCs w:val="24"/>
        </w:rPr>
      </w:pPr>
    </w:p>
    <w:p w14:paraId="65E7ED98" w14:textId="4BEE835A" w:rsidR="00D80F78" w:rsidRDefault="00D80F78" w:rsidP="00D80F78">
      <w:pPr>
        <w:rPr>
          <w:rFonts w:ascii="Arial" w:hAnsi="Arial" w:cs="Arial"/>
          <w:sz w:val="24"/>
          <w:szCs w:val="24"/>
        </w:rPr>
      </w:pPr>
      <w:r w:rsidRPr="004E10D8">
        <w:rPr>
          <w:rFonts w:ascii="Arial" w:hAnsi="Arial" w:cs="Arial"/>
          <w:b/>
          <w:sz w:val="24"/>
          <w:szCs w:val="24"/>
        </w:rPr>
        <w:t xml:space="preserve">Figure </w:t>
      </w:r>
      <w:r>
        <w:rPr>
          <w:rFonts w:ascii="Arial" w:hAnsi="Arial" w:cs="Arial"/>
          <w:b/>
          <w:sz w:val="24"/>
          <w:szCs w:val="24"/>
        </w:rPr>
        <w:t>S</w:t>
      </w:r>
      <w:r w:rsidRPr="004E10D8">
        <w:rPr>
          <w:rFonts w:ascii="Arial" w:hAnsi="Arial" w:cs="Arial"/>
          <w:b/>
          <w:sz w:val="24"/>
          <w:szCs w:val="24"/>
        </w:rPr>
        <w:t xml:space="preserve">2. </w:t>
      </w:r>
      <w:r w:rsidR="00407751">
        <w:rPr>
          <w:rFonts w:ascii="Arial" w:hAnsi="Arial" w:cs="Arial"/>
          <w:bCs/>
          <w:sz w:val="24"/>
          <w:szCs w:val="24"/>
        </w:rPr>
        <w:t>Dose-r</w:t>
      </w:r>
      <w:r w:rsidRPr="004E10D8">
        <w:rPr>
          <w:rFonts w:ascii="Arial" w:hAnsi="Arial" w:cs="Arial"/>
          <w:sz w:val="24"/>
          <w:szCs w:val="24"/>
        </w:rPr>
        <w:t>esponse curve of wild-type (</w:t>
      </w:r>
      <w:r w:rsidRPr="004E10D8">
        <w:rPr>
          <w:rFonts w:ascii="Arial" w:hAnsi="Arial" w:cs="Arial"/>
          <w:i/>
          <w:sz w:val="24"/>
          <w:szCs w:val="24"/>
        </w:rPr>
        <w:t>his3Δ</w:t>
      </w:r>
      <w:r w:rsidRPr="004E10D8">
        <w:rPr>
          <w:rFonts w:ascii="Arial" w:hAnsi="Arial" w:cs="Arial"/>
          <w:sz w:val="24"/>
          <w:szCs w:val="24"/>
        </w:rPr>
        <w:t>) and AZC sensitive (</w:t>
      </w:r>
      <w:r w:rsidRPr="004E10D8">
        <w:rPr>
          <w:rFonts w:ascii="Arial" w:hAnsi="Arial" w:cs="Arial"/>
          <w:i/>
          <w:sz w:val="24"/>
          <w:szCs w:val="24"/>
        </w:rPr>
        <w:t>hap5Δ</w:t>
      </w:r>
      <w:r w:rsidRPr="004E10D8">
        <w:rPr>
          <w:rFonts w:ascii="Arial" w:hAnsi="Arial" w:cs="Arial"/>
          <w:sz w:val="24"/>
          <w:szCs w:val="24"/>
        </w:rPr>
        <w:t>) yeast strains to various concentrations of AZC. Strains were grown in triplicate to saturation in YPD medium, diluted to an OD</w:t>
      </w:r>
      <w:r w:rsidRPr="004E10D8">
        <w:rPr>
          <w:rFonts w:ascii="Arial" w:hAnsi="Arial" w:cs="Arial"/>
          <w:sz w:val="24"/>
          <w:szCs w:val="24"/>
          <w:vertAlign w:val="subscript"/>
        </w:rPr>
        <w:t xml:space="preserve">600 </w:t>
      </w:r>
      <w:r w:rsidRPr="004E10D8">
        <w:rPr>
          <w:rFonts w:ascii="Arial" w:hAnsi="Arial" w:cs="Arial"/>
          <w:sz w:val="24"/>
          <w:szCs w:val="24"/>
        </w:rPr>
        <w:t>of 0.1 in SD medium containing AZC and grown for 24 hrs at 30°. Fitness was defined as the area under the growth curve at the indicated AZC concentration, normalizing to the growth of the wild-type strain in medium lacking AZC. Each point represents a biological replicate (n = 3).</w:t>
      </w:r>
    </w:p>
    <w:p w14:paraId="2DFD0969" w14:textId="77777777" w:rsidR="00D80F78" w:rsidRDefault="00D80F78">
      <w:pPr>
        <w:rPr>
          <w:rFonts w:ascii="Arial" w:hAnsi="Arial" w:cs="Arial"/>
          <w:sz w:val="24"/>
          <w:szCs w:val="24"/>
        </w:rPr>
      </w:pPr>
      <w:r>
        <w:rPr>
          <w:rFonts w:ascii="Arial" w:hAnsi="Arial" w:cs="Arial"/>
          <w:sz w:val="24"/>
          <w:szCs w:val="24"/>
        </w:rPr>
        <w:br w:type="page"/>
      </w:r>
    </w:p>
    <w:p w14:paraId="4FDB9FBA" w14:textId="74132C89" w:rsidR="00F7449A" w:rsidRDefault="00F7449A" w:rsidP="00F7449A">
      <w:pPr>
        <w:jc w:val="center"/>
        <w:rPr>
          <w:rFonts w:ascii="Arial" w:hAnsi="Arial" w:cs="Arial"/>
          <w:b/>
          <w:sz w:val="24"/>
          <w:szCs w:val="24"/>
        </w:rPr>
      </w:pPr>
      <w:r>
        <w:rPr>
          <w:rFonts w:ascii="Arial" w:hAnsi="Arial" w:cs="Arial"/>
          <w:b/>
          <w:noProof/>
          <w:sz w:val="24"/>
          <w:szCs w:val="24"/>
        </w:rPr>
        <w:lastRenderedPageBreak/>
        <w:drawing>
          <wp:inline distT="0" distB="0" distL="0" distR="0" wp14:anchorId="252A3DED" wp14:editId="2896B733">
            <wp:extent cx="3910269" cy="5949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16193" cy="5958964"/>
                    </a:xfrm>
                    <a:prstGeom prst="rect">
                      <a:avLst/>
                    </a:prstGeom>
                    <a:noFill/>
                    <a:ln>
                      <a:noFill/>
                    </a:ln>
                  </pic:spPr>
                </pic:pic>
              </a:graphicData>
            </a:graphic>
          </wp:inline>
        </w:drawing>
      </w:r>
    </w:p>
    <w:p w14:paraId="00D9AFA9" w14:textId="77777777" w:rsidR="00F7449A" w:rsidRDefault="00F7449A" w:rsidP="00D80F78">
      <w:pPr>
        <w:rPr>
          <w:rFonts w:ascii="Arial" w:hAnsi="Arial" w:cs="Arial"/>
          <w:b/>
          <w:sz w:val="24"/>
          <w:szCs w:val="24"/>
        </w:rPr>
      </w:pPr>
    </w:p>
    <w:p w14:paraId="06B552E7" w14:textId="451423A3" w:rsidR="00195DFC" w:rsidRDefault="00D80F78">
      <w:pPr>
        <w:rPr>
          <w:rFonts w:ascii="Arial" w:hAnsi="Arial" w:cs="Arial"/>
          <w:sz w:val="24"/>
          <w:szCs w:val="24"/>
        </w:rPr>
      </w:pPr>
      <w:r w:rsidRPr="004E10D8">
        <w:rPr>
          <w:rFonts w:ascii="Arial" w:hAnsi="Arial" w:cs="Arial"/>
          <w:b/>
          <w:sz w:val="24"/>
          <w:szCs w:val="24"/>
        </w:rPr>
        <w:t xml:space="preserve">Figure </w:t>
      </w:r>
      <w:r>
        <w:rPr>
          <w:rFonts w:ascii="Arial" w:hAnsi="Arial" w:cs="Arial"/>
          <w:b/>
          <w:sz w:val="24"/>
          <w:szCs w:val="24"/>
        </w:rPr>
        <w:t>S3</w:t>
      </w:r>
      <w:r w:rsidRPr="004E10D8">
        <w:rPr>
          <w:rFonts w:ascii="Arial" w:hAnsi="Arial" w:cs="Arial"/>
          <w:b/>
          <w:sz w:val="24"/>
          <w:szCs w:val="24"/>
        </w:rPr>
        <w:t xml:space="preserve">. </w:t>
      </w:r>
      <w:r w:rsidR="00407751">
        <w:rPr>
          <w:rFonts w:ascii="Arial" w:hAnsi="Arial" w:cs="Arial"/>
          <w:bCs/>
          <w:sz w:val="24"/>
          <w:szCs w:val="24"/>
        </w:rPr>
        <w:t>Dose-r</w:t>
      </w:r>
      <w:r w:rsidRPr="004E10D8">
        <w:rPr>
          <w:rFonts w:ascii="Arial" w:hAnsi="Arial" w:cs="Arial"/>
          <w:sz w:val="24"/>
          <w:szCs w:val="24"/>
        </w:rPr>
        <w:t>esponse curve of wild-type (</w:t>
      </w:r>
      <w:r w:rsidRPr="004E10D8">
        <w:rPr>
          <w:rFonts w:ascii="Arial" w:hAnsi="Arial" w:cs="Arial"/>
          <w:i/>
          <w:sz w:val="24"/>
          <w:szCs w:val="24"/>
        </w:rPr>
        <w:t>his3Δ</w:t>
      </w:r>
      <w:r w:rsidRPr="004E10D8">
        <w:rPr>
          <w:rFonts w:ascii="Arial" w:hAnsi="Arial" w:cs="Arial"/>
          <w:sz w:val="24"/>
          <w:szCs w:val="24"/>
        </w:rPr>
        <w:t xml:space="preserve">) yeast strains to various concentrations of </w:t>
      </w:r>
      <w:r>
        <w:rPr>
          <w:rFonts w:ascii="Arial" w:hAnsi="Arial" w:cs="Arial"/>
          <w:sz w:val="24"/>
          <w:szCs w:val="24"/>
        </w:rPr>
        <w:t>(A) canavanine and (B) thialysine</w:t>
      </w:r>
      <w:r w:rsidRPr="004E10D8">
        <w:rPr>
          <w:rFonts w:ascii="Arial" w:hAnsi="Arial" w:cs="Arial"/>
          <w:sz w:val="24"/>
          <w:szCs w:val="24"/>
        </w:rPr>
        <w:t>. Strains were grown in triplicate to saturation in YPD medium, diluted to an OD</w:t>
      </w:r>
      <w:r w:rsidRPr="004E10D8">
        <w:rPr>
          <w:rFonts w:ascii="Arial" w:hAnsi="Arial" w:cs="Arial"/>
          <w:sz w:val="24"/>
          <w:szCs w:val="24"/>
          <w:vertAlign w:val="subscript"/>
        </w:rPr>
        <w:t xml:space="preserve">600 </w:t>
      </w:r>
      <w:r w:rsidRPr="004E10D8">
        <w:rPr>
          <w:rFonts w:ascii="Arial" w:hAnsi="Arial" w:cs="Arial"/>
          <w:sz w:val="24"/>
          <w:szCs w:val="24"/>
        </w:rPr>
        <w:t xml:space="preserve">of 0.1 in SD medium containing </w:t>
      </w:r>
      <w:r>
        <w:rPr>
          <w:rFonts w:ascii="Arial" w:hAnsi="Arial" w:cs="Arial"/>
          <w:sz w:val="24"/>
          <w:szCs w:val="24"/>
        </w:rPr>
        <w:t>the indicated amino acid analog</w:t>
      </w:r>
      <w:r w:rsidRPr="004E10D8">
        <w:rPr>
          <w:rFonts w:ascii="Arial" w:hAnsi="Arial" w:cs="Arial"/>
          <w:sz w:val="24"/>
          <w:szCs w:val="24"/>
        </w:rPr>
        <w:t xml:space="preserve"> and grown for 24 hrs at 30°. Fitness was defined as the area under the growth curve at the indicated concentration, normalizing to the growth of the wild-type strain in medium lacking </w:t>
      </w:r>
      <w:r>
        <w:rPr>
          <w:rFonts w:ascii="Arial" w:hAnsi="Arial" w:cs="Arial"/>
          <w:sz w:val="24"/>
          <w:szCs w:val="24"/>
        </w:rPr>
        <w:t>the amino acid analog</w:t>
      </w:r>
      <w:r w:rsidRPr="004E10D8">
        <w:rPr>
          <w:rFonts w:ascii="Arial" w:hAnsi="Arial" w:cs="Arial"/>
          <w:sz w:val="24"/>
          <w:szCs w:val="24"/>
        </w:rPr>
        <w:t>. Each point represents a biological replicate (n = 3).</w:t>
      </w:r>
    </w:p>
    <w:p w14:paraId="30A80AA5" w14:textId="77777777" w:rsidR="00195DFC" w:rsidRDefault="00195DFC">
      <w:pPr>
        <w:rPr>
          <w:rFonts w:ascii="Arial" w:hAnsi="Arial" w:cs="Arial"/>
          <w:sz w:val="24"/>
          <w:szCs w:val="24"/>
        </w:rPr>
      </w:pPr>
      <w:r>
        <w:rPr>
          <w:rFonts w:ascii="Arial" w:hAnsi="Arial" w:cs="Arial"/>
          <w:sz w:val="24"/>
          <w:szCs w:val="24"/>
        </w:rPr>
        <w:br w:type="page"/>
      </w:r>
    </w:p>
    <w:p w14:paraId="105C6ED2" w14:textId="72CF6785" w:rsidR="00195DFC" w:rsidRDefault="00195DFC">
      <w:pPr>
        <w:rPr>
          <w:rFonts w:ascii="Arial" w:hAnsi="Arial" w:cs="Arial"/>
          <w:lang w:val="en-US"/>
        </w:rPr>
      </w:pPr>
      <w:r>
        <w:rPr>
          <w:rFonts w:ascii="Arial" w:hAnsi="Arial" w:cs="Arial"/>
          <w:noProof/>
          <w:lang w:val="en-US"/>
        </w:rPr>
        <w:lastRenderedPageBreak/>
        <w:drawing>
          <wp:inline distT="0" distB="0" distL="0" distR="0" wp14:anchorId="62FFB01E" wp14:editId="5BB4319C">
            <wp:extent cx="5937885" cy="7268210"/>
            <wp:effectExtent l="0" t="0" r="571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7885" cy="7268210"/>
                    </a:xfrm>
                    <a:prstGeom prst="rect">
                      <a:avLst/>
                    </a:prstGeom>
                    <a:noFill/>
                    <a:ln>
                      <a:noFill/>
                    </a:ln>
                  </pic:spPr>
                </pic:pic>
              </a:graphicData>
            </a:graphic>
          </wp:inline>
        </w:drawing>
      </w:r>
    </w:p>
    <w:p w14:paraId="19C33F5F" w14:textId="77777777" w:rsidR="00195DFC" w:rsidRDefault="00195DFC">
      <w:pPr>
        <w:rPr>
          <w:rFonts w:ascii="Arial" w:hAnsi="Arial" w:cs="Arial"/>
          <w:lang w:val="en-US"/>
        </w:rPr>
      </w:pPr>
      <w:r>
        <w:rPr>
          <w:rFonts w:ascii="Arial" w:hAnsi="Arial" w:cs="Arial"/>
          <w:lang w:val="en-US"/>
        </w:rPr>
        <w:br w:type="page"/>
      </w:r>
    </w:p>
    <w:p w14:paraId="42B52499" w14:textId="653B7619" w:rsidR="00195DFC" w:rsidRDefault="00195DFC">
      <w:pPr>
        <w:rPr>
          <w:rFonts w:ascii="Arial" w:hAnsi="Arial" w:cs="Arial"/>
          <w:lang w:val="en-US"/>
        </w:rPr>
      </w:pPr>
      <w:r>
        <w:rPr>
          <w:rFonts w:ascii="Arial" w:hAnsi="Arial" w:cs="Arial"/>
          <w:noProof/>
          <w:lang w:val="en-US"/>
        </w:rPr>
        <w:lastRenderedPageBreak/>
        <w:drawing>
          <wp:inline distT="0" distB="0" distL="0" distR="0" wp14:anchorId="352E963E" wp14:editId="57469759">
            <wp:extent cx="5932170" cy="723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2170" cy="7239000"/>
                    </a:xfrm>
                    <a:prstGeom prst="rect">
                      <a:avLst/>
                    </a:prstGeom>
                    <a:noFill/>
                    <a:ln>
                      <a:noFill/>
                    </a:ln>
                  </pic:spPr>
                </pic:pic>
              </a:graphicData>
            </a:graphic>
          </wp:inline>
        </w:drawing>
      </w:r>
      <w:r>
        <w:rPr>
          <w:rFonts w:ascii="Arial" w:hAnsi="Arial" w:cs="Arial"/>
          <w:lang w:val="en-US"/>
        </w:rPr>
        <w:br w:type="page"/>
      </w:r>
    </w:p>
    <w:p w14:paraId="3DFECB70" w14:textId="1F9A433B" w:rsidR="00195DFC" w:rsidRDefault="00195DFC">
      <w:pPr>
        <w:rPr>
          <w:rFonts w:ascii="Arial" w:hAnsi="Arial" w:cs="Arial"/>
          <w:lang w:val="en-US"/>
        </w:rPr>
      </w:pPr>
      <w:r>
        <w:rPr>
          <w:rFonts w:ascii="Arial" w:hAnsi="Arial" w:cs="Arial"/>
          <w:noProof/>
          <w:lang w:val="en-US"/>
        </w:rPr>
        <w:lastRenderedPageBreak/>
        <w:drawing>
          <wp:inline distT="0" distB="0" distL="0" distR="0" wp14:anchorId="30169C62" wp14:editId="0AA4A491">
            <wp:extent cx="5932170" cy="72682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2170" cy="7268210"/>
                    </a:xfrm>
                    <a:prstGeom prst="rect">
                      <a:avLst/>
                    </a:prstGeom>
                    <a:noFill/>
                    <a:ln>
                      <a:noFill/>
                    </a:ln>
                  </pic:spPr>
                </pic:pic>
              </a:graphicData>
            </a:graphic>
          </wp:inline>
        </w:drawing>
      </w:r>
    </w:p>
    <w:p w14:paraId="7C11F264" w14:textId="77777777" w:rsidR="00195DFC" w:rsidRDefault="00195DFC">
      <w:pPr>
        <w:rPr>
          <w:rFonts w:ascii="Arial" w:hAnsi="Arial" w:cs="Arial"/>
          <w:lang w:val="en-US"/>
        </w:rPr>
      </w:pPr>
      <w:r>
        <w:rPr>
          <w:rFonts w:ascii="Arial" w:hAnsi="Arial" w:cs="Arial"/>
          <w:lang w:val="en-US"/>
        </w:rPr>
        <w:br w:type="page"/>
      </w:r>
    </w:p>
    <w:p w14:paraId="5939F5DF" w14:textId="0B809D7F" w:rsidR="0091501B" w:rsidRDefault="00195DFC">
      <w:pPr>
        <w:rPr>
          <w:rFonts w:ascii="Arial" w:hAnsi="Arial" w:cs="Arial"/>
          <w:lang w:val="en-US"/>
        </w:rPr>
      </w:pPr>
      <w:r>
        <w:rPr>
          <w:rFonts w:ascii="Arial" w:hAnsi="Arial" w:cs="Arial"/>
          <w:noProof/>
          <w:lang w:val="en-US"/>
        </w:rPr>
        <w:lastRenderedPageBreak/>
        <w:drawing>
          <wp:inline distT="0" distB="0" distL="0" distR="0" wp14:anchorId="63E3BD6A" wp14:editId="7CED9E5A">
            <wp:extent cx="5943600" cy="4484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84370"/>
                    </a:xfrm>
                    <a:prstGeom prst="rect">
                      <a:avLst/>
                    </a:prstGeom>
                    <a:noFill/>
                    <a:ln>
                      <a:noFill/>
                    </a:ln>
                  </pic:spPr>
                </pic:pic>
              </a:graphicData>
            </a:graphic>
          </wp:inline>
        </w:drawing>
      </w:r>
    </w:p>
    <w:p w14:paraId="31458BF5" w14:textId="0DDD0A11" w:rsidR="00195DFC" w:rsidRPr="00195DFC" w:rsidRDefault="00195DFC">
      <w:pPr>
        <w:rPr>
          <w:rFonts w:ascii="Arial" w:hAnsi="Arial" w:cs="Arial"/>
          <w:lang w:val="en-US"/>
        </w:rPr>
      </w:pPr>
      <w:r>
        <w:rPr>
          <w:rFonts w:ascii="Arial" w:hAnsi="Arial" w:cs="Arial"/>
          <w:b/>
          <w:bCs/>
          <w:lang w:val="en-US"/>
        </w:rPr>
        <w:t xml:space="preserve">Figure S4. </w:t>
      </w:r>
      <w:r>
        <w:rPr>
          <w:rFonts w:ascii="Arial" w:hAnsi="Arial" w:cs="Arial"/>
          <w:lang w:val="en-US"/>
        </w:rPr>
        <w:t xml:space="preserve">Representative growth curves for each overexpression strain. Strains from the FLEX collection </w:t>
      </w:r>
      <w:r>
        <w:rPr>
          <w:rFonts w:ascii="Arial" w:hAnsi="Arial" w:cs="Arial"/>
          <w:lang w:val="en-US"/>
        </w:rPr>
        <w:fldChar w:fldCharType="begin" w:fldLock="1"/>
      </w:r>
      <w:r>
        <w:rPr>
          <w:rFonts w:ascii="Arial" w:hAnsi="Arial" w:cs="Arial"/>
          <w:lang w:val="en-US"/>
        </w:rPr>
        <w:instrText>ADDIN CSL_CITATION {"citationItems":[{"id":"ITEM-1","itemData":{"DOI":"10.1534/g3.112.003400","ISSN":"21601836","PMID":"23050238","abstract":"Systematic analysis of gene overexpression phenotypes provides an insight into gene function, enzyme targets, and biological pathways. Here, we describe a novel functional genomics platform that enables a highly parallel and systematic assessment of overexpression phenotypes in pooled cultures. First, we constructed a genome-level collection of ~5100 yeast barcoder strains, each of which carries a unique barcode, enabling pooled fitness assays with a barcode microarray or sequencing readout. Second, we constructed a yeast open reading frame (ORF) galactose-induced overexpression array by generating a genome-wide set of yeast transformants, each of which carries an individual plasmid-born and sequenceverified ORF derived from the Saccharomyces cerevisiae full-length EXpression-ready (FLEX) collection. We combined these collections genetically using synthetic genetic array methodology, generating ~5100 strains, each of which is barcoded and overexpresses a specific ORF, a set we termed \"barFLEX.\" Additional synthetic genetic array allows the barFLEX collection to be moved into different genetic backgrounds. As a proof-of-principle, we describe the properties of the barFLEX overexpression collection and its application in synthetic dosage lethality studies under different environmental conditions. © 2012 A. C. Douglas et al.","author":[{"dropping-particle":"","family":"Douglas","given":"Alison C.","non-dropping-particle":"","parse-names":false,"suffix":""},{"dropping-particle":"","family":"Smith","given":"Andrew M.","non-dropping-particle":"","parse-names":false,"suffix":""},{"dropping-particle":"","family":"Sharifpoor","given":"Sara","non-dropping-particle":"","parse-names":false,"suffix":""},{"dropping-particle":"","family":"Yan","given":"Zhun","non-dropping-particle":"","parse-names":false,"suffix":""},{"dropping-particle":"","family":"Durbic","given":"Tanja","non-dropping-particle":"","parse-names":false,"suffix":""},{"dropping-particle":"","family":"Heisler","given":"Lawrence E.","non-dropping-particle":"","parse-names":false,"suffix":""},{"dropping-particle":"","family":"Lee","given":"Anna Y.","non-dropping-particle":"","parse-names":false,"suffix":""},{"dropping-particle":"","family":"Ryan","given":"Owen","non-dropping-particle":"","parse-names":false,"suffix":""},{"dropping-particle":"","family":"Göttert","given":"Hendrikje","non-dropping-particle":"","parse-names":false,"suffix":""},{"dropping-particle":"","family":"Surendra","given":"Anu","non-dropping-particle":"","parse-names":false,"suffix":""},{"dropping-particle":"","family":"Dyk","given":"Dewald","non-dropping-particle":"van","parse-names":false,"suffix":""},{"dropping-particle":"","family":"Giaever","given":"Guri","non-dropping-particle":"","parse-names":false,"suffix":""},{"dropping-particle":"","family":"Boone","given":"Charles","non-dropping-particle":"","parse-names":false,"suffix":""},{"dropping-particle":"","family":"Nislow","given":"Corey","non-dropping-particle":"","parse-names":false,"suffix":""},{"dropping-particle":"","family":"Andrews","given":"Brenda J.","non-dropping-particle":"","parse-names":false,"suffix":""}],"container-title":"G3: Genes, Genomes, Genetics","id":"ITEM-1","issue":"10","issued":{"date-parts":[["2012"]]},"page":"1279-1289","title":"Functional analysis with a barcoder yeast gene overexpression system","type":"article-journal","volume":"2"},"uris":["http://www.mendeley.com/documents/?uuid=b3a03f0f-777c-428f-bf8a-7b30e24b0fee"]},{"id":"ITEM-2","itemData":{"DOI":"10.1101/gr.6037607.1","author":[{"dropping-particle":"","family":"Hu","given":"Yanhui","non-dropping-particle":"","parse-names":false,"suffix":""},{"dropping-particle":"","family":"Rolfs","given":"Andreas","non-dropping-particle":"","parse-names":false,"suffix":""},{"dropping-particle":"","family":"Bhullar","given":"Bhupinder","non-dropping-particle":"","parse-names":false,"suffix":""},{"dropping-particle":"","family":"Murthy","given":"Tellamraju V S","non-dropping-particle":"","parse-names":false,"suffix":""},{"dropping-particle":"","family":"Zhu","given":"Cong","non-dropping-particle":"","parse-names":false,"suffix":""},{"dropping-particle":"","family":"Berger","given":"Michael F","non-dropping-particle":"","parse-names":false,"suffix":""},{"dropping-particle":"","family":"Camargo","given":"Anamaria A","non-dropping-particle":"","parse-names":false,"suffix":""},{"dropping-particle":"","family":"Kelley","given":"Fontina","non-dropping-particle":"","parse-names":false,"suffix":""},{"dropping-particle":"","family":"Mccarron","given":"Seamus","non-dropping-particle":"","parse-names":false,"suffix":""},{"dropping-particle":"","family":"Jepson","given":"Daniel","non-dropping-particle":"","parse-names":false,"suffix":""},{"dropping-particle":"","family":"Richardson","given":"Aaron","non-dropping-particle":"","parse-names":false,"suffix":""},{"dropping-particle":"","family":"Raphael","given":"Jacob","non-dropping-particle":"","parse-names":false,"suffix":""},{"dropping-particle":"","family":"Moreira","given":"Donna","non-dropping-particle":"","parse-names":false,"suffix":""},{"dropping-particle":"","family":"Taycher","given":"Elena","non-dropping-particle":"","parse-names":false,"suffix":""},{"dropping-particle":"","family":"Zuo","given":"Dongmei","non-dropping-particle":"","parse-names":false,"suffix":""},{"dropping-particle":"","family":"Mohr","given":"Stephanie","non-dropping-particle":"","parse-names":false,"suffix":""},{"dropping-particle":"","family":"Kane","given":"Michael F","non-dropping-particle":"","parse-names":false,"suffix":""},{"dropping-particle":"","family":"Williamson","given":"Janice","non-dropping-particle":"","parse-names":false,"suffix":""},{"dropping-particle":"","family":"Simpson","given":"Andrew","non-dropping-particle":"","parse-names":false,"suffix":""},{"dropping-particle":"","family":"Bulyk","given":"Martha L","non-dropping-particle":"","parse-names":false,"suffix":""},{"dropping-particle":"","family":"Harlow","given":"Edward","non-dropping-particle":"","parse-names":false,"suffix":""},{"dropping-particle":"","family":"Marsischky","given":"Gerald","non-dropping-particle":"","parse-names":false,"suffix":""},{"dropping-particle":"","family":"Kolodner","given":"Richard D","non-dropping-particle":"","parse-names":false,"suffix":""},{"dropping-particle":"","family":"Labaer","given":"Joshua","non-dropping-particle":"","parse-names":false,"suffix":""}],"id":"ITEM-2","issued":{"date-parts":[["2007"]]},"page":"536-543","title":"Approaching a complete repository of sequence-verified protein-encoding clones for Saccharomyces cerevisiae","type":"article-journal"},"uris":["http://www.mendeley.com/documents/?uuid=b430865e-6637-4484-96b5-943968ca66f8"]}],"mendeley":{"formattedCitation":"(Hu &lt;i&gt;et al.&lt;/i&gt; 2007; Douglas &lt;i&gt;et al.&lt;/i&gt; 2012)","plainTextFormattedCitation":"(Hu et al. 2007; Douglas et al. 2012)"},"properties":{"noteIndex":0},"schema":"https://github.com/citation-style-language/schema/raw/master/csl-citation.json"}</w:instrText>
      </w:r>
      <w:r>
        <w:rPr>
          <w:rFonts w:ascii="Arial" w:hAnsi="Arial" w:cs="Arial"/>
          <w:lang w:val="en-US"/>
        </w:rPr>
        <w:fldChar w:fldCharType="separate"/>
      </w:r>
      <w:r w:rsidRPr="00195DFC">
        <w:rPr>
          <w:rFonts w:ascii="Arial" w:hAnsi="Arial" w:cs="Arial"/>
          <w:noProof/>
          <w:lang w:val="en-US"/>
        </w:rPr>
        <w:t xml:space="preserve">(Hu </w:t>
      </w:r>
      <w:r w:rsidRPr="00195DFC">
        <w:rPr>
          <w:rFonts w:ascii="Arial" w:hAnsi="Arial" w:cs="Arial"/>
          <w:i/>
          <w:noProof/>
          <w:lang w:val="en-US"/>
        </w:rPr>
        <w:t>et al.</w:t>
      </w:r>
      <w:r w:rsidRPr="00195DFC">
        <w:rPr>
          <w:rFonts w:ascii="Arial" w:hAnsi="Arial" w:cs="Arial"/>
          <w:noProof/>
          <w:lang w:val="en-US"/>
        </w:rPr>
        <w:t xml:space="preserve"> 2007; Douglas </w:t>
      </w:r>
      <w:r w:rsidRPr="00195DFC">
        <w:rPr>
          <w:rFonts w:ascii="Arial" w:hAnsi="Arial" w:cs="Arial"/>
          <w:i/>
          <w:noProof/>
          <w:lang w:val="en-US"/>
        </w:rPr>
        <w:t>et al.</w:t>
      </w:r>
      <w:r w:rsidRPr="00195DFC">
        <w:rPr>
          <w:rFonts w:ascii="Arial" w:hAnsi="Arial" w:cs="Arial"/>
          <w:noProof/>
          <w:lang w:val="en-US"/>
        </w:rPr>
        <w:t xml:space="preserve"> 2012)</w:t>
      </w:r>
      <w:r>
        <w:rPr>
          <w:rFonts w:ascii="Arial" w:hAnsi="Arial" w:cs="Arial"/>
          <w:lang w:val="en-US"/>
        </w:rPr>
        <w:fldChar w:fldCharType="end"/>
      </w:r>
      <w:r>
        <w:rPr>
          <w:rFonts w:ascii="Arial" w:hAnsi="Arial" w:cs="Arial"/>
          <w:lang w:val="en-US"/>
        </w:rPr>
        <w:t xml:space="preserve"> were grown overnight in medium lacking uracil and containing raffinose. Strains were diluted to an OD</w:t>
      </w:r>
      <w:r>
        <w:rPr>
          <w:rFonts w:ascii="Arial" w:hAnsi="Arial" w:cs="Arial"/>
          <w:vertAlign w:val="subscript"/>
          <w:lang w:val="en-US"/>
        </w:rPr>
        <w:t>600</w:t>
      </w:r>
      <w:r>
        <w:rPr>
          <w:rFonts w:ascii="Arial" w:hAnsi="Arial" w:cs="Arial"/>
          <w:lang w:val="en-US"/>
        </w:rPr>
        <w:t xml:space="preserve"> of 0.1 in media lacking uracil and containing galactose either with 10 µg/mL AZC or without and grown for 24 </w:t>
      </w:r>
      <w:proofErr w:type="spellStart"/>
      <w:r>
        <w:rPr>
          <w:rFonts w:ascii="Arial" w:hAnsi="Arial" w:cs="Arial"/>
          <w:lang w:val="en-US"/>
        </w:rPr>
        <w:t>hr</w:t>
      </w:r>
      <w:proofErr w:type="spellEnd"/>
      <w:r>
        <w:rPr>
          <w:rFonts w:ascii="Arial" w:hAnsi="Arial" w:cs="Arial"/>
          <w:lang w:val="en-US"/>
        </w:rPr>
        <w:t xml:space="preserve"> at 30° with agitation in a plate read</w:t>
      </w:r>
      <w:r w:rsidR="008E1A99">
        <w:rPr>
          <w:rFonts w:ascii="Arial" w:hAnsi="Arial" w:cs="Arial"/>
          <w:lang w:val="en-US"/>
        </w:rPr>
        <w:t>er</w:t>
      </w:r>
      <w:r>
        <w:rPr>
          <w:rFonts w:ascii="Arial" w:hAnsi="Arial" w:cs="Arial"/>
          <w:lang w:val="en-US"/>
        </w:rPr>
        <w:t>. OD</w:t>
      </w:r>
      <w:r>
        <w:rPr>
          <w:rFonts w:ascii="Arial" w:hAnsi="Arial" w:cs="Arial"/>
          <w:vertAlign w:val="subscript"/>
          <w:lang w:val="en-US"/>
        </w:rPr>
        <w:t xml:space="preserve">600 </w:t>
      </w:r>
      <w:r>
        <w:rPr>
          <w:rFonts w:ascii="Arial" w:hAnsi="Arial" w:cs="Arial"/>
          <w:lang w:val="en-US"/>
        </w:rPr>
        <w:t xml:space="preserve">was measured every 15 minutes. Gene names that are </w:t>
      </w:r>
      <w:r w:rsidR="008E1A99">
        <w:rPr>
          <w:rFonts w:ascii="Arial" w:hAnsi="Arial" w:cs="Arial"/>
          <w:lang w:val="en-US"/>
        </w:rPr>
        <w:t xml:space="preserve">in </w:t>
      </w:r>
      <w:r>
        <w:rPr>
          <w:rFonts w:ascii="Arial" w:hAnsi="Arial" w:cs="Arial"/>
          <w:lang w:val="en-US"/>
        </w:rPr>
        <w:t>bold</w:t>
      </w:r>
      <w:r w:rsidR="008E1A99">
        <w:rPr>
          <w:rFonts w:ascii="Arial" w:hAnsi="Arial" w:cs="Arial"/>
          <w:lang w:val="en-US"/>
        </w:rPr>
        <w:t xml:space="preserve"> are considered to suppress AZC toxicity and result in a ratio of the AUC plus/minus AZC two-fold or greater than that of the control strain with a correct </w:t>
      </w:r>
      <w:r w:rsidR="008E1A99">
        <w:rPr>
          <w:rFonts w:ascii="Arial" w:hAnsi="Arial" w:cs="Arial"/>
          <w:i/>
          <w:iCs/>
          <w:lang w:val="en-US"/>
        </w:rPr>
        <w:t>p</w:t>
      </w:r>
      <w:r w:rsidR="008E1A99">
        <w:rPr>
          <w:rFonts w:ascii="Arial" w:hAnsi="Arial" w:cs="Arial"/>
          <w:lang w:val="en-US"/>
        </w:rPr>
        <w:t>-value ≤ 0.05 (n = 3).</w:t>
      </w:r>
      <w:bookmarkStart w:id="0" w:name="_GoBack"/>
      <w:bookmarkEnd w:id="0"/>
    </w:p>
    <w:sectPr w:rsidR="00195DFC" w:rsidRPr="00195DF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651"/>
    <w:rsid w:val="00057651"/>
    <w:rsid w:val="000E7EA4"/>
    <w:rsid w:val="000F1A82"/>
    <w:rsid w:val="00195DFC"/>
    <w:rsid w:val="001B676A"/>
    <w:rsid w:val="00201E5D"/>
    <w:rsid w:val="00407751"/>
    <w:rsid w:val="00527DDF"/>
    <w:rsid w:val="006D45D0"/>
    <w:rsid w:val="00762DA2"/>
    <w:rsid w:val="00886C14"/>
    <w:rsid w:val="008E1A99"/>
    <w:rsid w:val="0091501B"/>
    <w:rsid w:val="009C28BC"/>
    <w:rsid w:val="00A0487F"/>
    <w:rsid w:val="00B23C8F"/>
    <w:rsid w:val="00D80F78"/>
    <w:rsid w:val="00F7449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E6579"/>
  <w15:chartTrackingRefBased/>
  <w15:docId w15:val="{588142C3-EB4A-42A9-B882-762744EB7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7D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DDF"/>
    <w:rPr>
      <w:rFonts w:ascii="Segoe UI" w:hAnsi="Segoe UI" w:cs="Segoe UI"/>
      <w:sz w:val="18"/>
      <w:szCs w:val="18"/>
    </w:rPr>
  </w:style>
  <w:style w:type="table" w:styleId="TableGrid">
    <w:name w:val="Table Grid"/>
    <w:basedOn w:val="TableNormal"/>
    <w:uiPriority w:val="39"/>
    <w:rsid w:val="009150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46CDD5-E875-47DA-9670-F1F924A40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1844</Words>
  <Characters>10513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David Berg</dc:creator>
  <cp:keywords/>
  <dc:description/>
  <cp:lastModifiedBy>Matt Berg</cp:lastModifiedBy>
  <cp:revision>2</cp:revision>
  <dcterms:created xsi:type="dcterms:W3CDTF">2020-10-20T13:56:00Z</dcterms:created>
  <dcterms:modified xsi:type="dcterms:W3CDTF">2020-10-20T13:56:00Z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http://www.zotero.org/styles/acs-synthetic-biology</vt:lpwstr>
  </property>
  <property fmtid="{D5CDD505-2E9C-101B-9397-08002B2CF9AE}" pid="3" name="Mendeley Recent Style Name 0_1">
    <vt:lpwstr>ACS Synthetic Biology</vt:lpwstr>
  </property>
  <property fmtid="{D5CDD505-2E9C-101B-9397-08002B2CF9AE}" pid="4" name="Mendeley Recent Style Id 1_1">
    <vt:lpwstr>http://www.zotero.org/styles/american-chemical-society</vt:lpwstr>
  </property>
  <property fmtid="{D5CDD505-2E9C-101B-9397-08002B2CF9AE}" pid="5" name="Mendeley Recent Style Name 1_1">
    <vt:lpwstr>American Chemical Society</vt:lpwstr>
  </property>
  <property fmtid="{D5CDD505-2E9C-101B-9397-08002B2CF9AE}" pid="6" name="Mendeley Recent Style Id 2_1">
    <vt:lpwstr>http://www.zotero.org/styles/american-medical-association</vt:lpwstr>
  </property>
  <property fmtid="{D5CDD505-2E9C-101B-9397-08002B2CF9AE}" pid="7" name="Mendeley Recent Style Name 2_1">
    <vt:lpwstr>American Medical Association</vt:lpwstr>
  </property>
  <property fmtid="{D5CDD505-2E9C-101B-9397-08002B2CF9AE}" pid="8" name="Mendeley Recent Style Id 3_1">
    <vt:lpwstr>http://www.zotero.org/styles/chicago-note-bibliography</vt:lpwstr>
  </property>
  <property fmtid="{D5CDD505-2E9C-101B-9397-08002B2CF9AE}" pid="9" name="Mendeley Recent Style Name 3_1">
    <vt:lpwstr>Chicago Manual of Style 17th edition (note)</vt:lpwstr>
  </property>
  <property fmtid="{D5CDD505-2E9C-101B-9397-08002B2CF9AE}" pid="10" name="Mendeley Recent Style Id 4_1">
    <vt:lpwstr>http://www.zotero.org/styles/genetics</vt:lpwstr>
  </property>
  <property fmtid="{D5CDD505-2E9C-101B-9397-08002B2CF9AE}" pid="11" name="Mendeley Recent Style Name 4_1">
    <vt:lpwstr>Genetics</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http://www.zotero.org/styles/journal-of-the-american-chemical-society</vt:lpwstr>
  </property>
  <property fmtid="{D5CDD505-2E9C-101B-9397-08002B2CF9AE}" pid="15" name="Mendeley Recent Style Name 6_1">
    <vt:lpwstr>Journal of the American Chemical Society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http://www.zotero.org/styles/nucleic-acids-research</vt:lpwstr>
  </property>
  <property fmtid="{D5CDD505-2E9C-101B-9397-08002B2CF9AE}" pid="19" name="Mendeley Recent Style Name 8_1">
    <vt:lpwstr>Nucleic Acids Research</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a12ba891-680a-34e8-aebf-f7d175f45e3a</vt:lpwstr>
  </property>
  <property fmtid="{D5CDD505-2E9C-101B-9397-08002B2CF9AE}" pid="24" name="Mendeley Citation Style_1">
    <vt:lpwstr>http://www.zotero.org/styles/genetics</vt:lpwstr>
  </property>
</Properties>
</file>