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85" w:rsidRDefault="00ED27CA" w:rsidP="001A6085">
      <w:pPr>
        <w:spacing w:after="0" w:line="480" w:lineRule="auto"/>
        <w:jc w:val="both"/>
        <w:rPr>
          <w:rFonts w:ascii="Arial" w:hAnsi="Arial" w:cs="Arial"/>
          <w:sz w:val="24"/>
          <w:szCs w:val="24"/>
        </w:rPr>
      </w:pPr>
      <w:r>
        <w:rPr>
          <w:rFonts w:ascii="Arial" w:hAnsi="Arial" w:cs="Arial"/>
          <w:sz w:val="24"/>
          <w:szCs w:val="24"/>
        </w:rPr>
        <w:t>Table S1</w:t>
      </w:r>
      <w:bookmarkStart w:id="0" w:name="_GoBack"/>
      <w:bookmarkEnd w:id="0"/>
      <w:r w:rsidR="001A6085">
        <w:rPr>
          <w:rFonts w:ascii="Arial" w:hAnsi="Arial" w:cs="Arial"/>
          <w:sz w:val="24"/>
          <w:szCs w:val="24"/>
        </w:rPr>
        <w:t xml:space="preserve">- </w:t>
      </w:r>
      <w:r w:rsidR="00A27CF1">
        <w:rPr>
          <w:rFonts w:ascii="Arial" w:hAnsi="Arial" w:cs="Arial"/>
          <w:i/>
          <w:sz w:val="24"/>
          <w:szCs w:val="24"/>
        </w:rPr>
        <w:t>Candida</w:t>
      </w:r>
      <w:r w:rsidR="001A6085" w:rsidRPr="0078324E">
        <w:rPr>
          <w:rFonts w:ascii="Arial" w:hAnsi="Arial" w:cs="Arial"/>
          <w:i/>
          <w:sz w:val="24"/>
          <w:szCs w:val="24"/>
        </w:rPr>
        <w:t xml:space="preserve"> </w:t>
      </w:r>
      <w:proofErr w:type="spellStart"/>
      <w:r w:rsidR="001A6085" w:rsidRPr="0078324E">
        <w:rPr>
          <w:rFonts w:ascii="Arial" w:hAnsi="Arial" w:cs="Arial"/>
          <w:i/>
          <w:sz w:val="24"/>
          <w:szCs w:val="24"/>
        </w:rPr>
        <w:t>albicans</w:t>
      </w:r>
      <w:proofErr w:type="spellEnd"/>
      <w:r w:rsidR="001A6085">
        <w:rPr>
          <w:rFonts w:ascii="Arial" w:hAnsi="Arial" w:cs="Arial"/>
          <w:sz w:val="24"/>
          <w:szCs w:val="24"/>
        </w:rPr>
        <w:t xml:space="preserve"> strains used in this study.</w:t>
      </w:r>
    </w:p>
    <w:tbl>
      <w:tblPr>
        <w:tblStyle w:val="Tabelacomgrade"/>
        <w:tblW w:w="0" w:type="auto"/>
        <w:tblLook w:val="04A0" w:firstRow="1" w:lastRow="0" w:firstColumn="1" w:lastColumn="0" w:noHBand="0" w:noVBand="1"/>
      </w:tblPr>
      <w:tblGrid>
        <w:gridCol w:w="2358"/>
        <w:gridCol w:w="5040"/>
        <w:gridCol w:w="2178"/>
      </w:tblGrid>
      <w:tr w:rsidR="001A6085" w:rsidRPr="00552F5D" w:rsidTr="00580FB8">
        <w:tc>
          <w:tcPr>
            <w:tcW w:w="2358" w:type="dxa"/>
          </w:tcPr>
          <w:p w:rsidR="001A6085" w:rsidRPr="00552F5D" w:rsidRDefault="001A6085" w:rsidP="00580FB8">
            <w:pPr>
              <w:spacing w:line="480" w:lineRule="auto"/>
              <w:jc w:val="both"/>
              <w:rPr>
                <w:rFonts w:ascii="Arial" w:hAnsi="Arial" w:cs="Arial"/>
                <w:b/>
                <w:sz w:val="24"/>
                <w:szCs w:val="24"/>
              </w:rPr>
            </w:pPr>
            <w:r w:rsidRPr="00552F5D">
              <w:rPr>
                <w:rFonts w:ascii="Arial" w:hAnsi="Arial" w:cs="Arial"/>
                <w:b/>
                <w:sz w:val="24"/>
                <w:szCs w:val="24"/>
              </w:rPr>
              <w:t>Strain</w:t>
            </w:r>
          </w:p>
        </w:tc>
        <w:tc>
          <w:tcPr>
            <w:tcW w:w="5040" w:type="dxa"/>
          </w:tcPr>
          <w:p w:rsidR="001A6085" w:rsidRPr="00552F5D" w:rsidRDefault="001A6085" w:rsidP="00580FB8">
            <w:pPr>
              <w:spacing w:line="480" w:lineRule="auto"/>
              <w:jc w:val="both"/>
              <w:rPr>
                <w:rFonts w:ascii="Arial" w:hAnsi="Arial" w:cs="Arial"/>
                <w:b/>
                <w:sz w:val="24"/>
                <w:szCs w:val="24"/>
              </w:rPr>
            </w:pPr>
            <w:r w:rsidRPr="00552F5D">
              <w:rPr>
                <w:rFonts w:ascii="Arial" w:hAnsi="Arial" w:cs="Arial"/>
                <w:b/>
                <w:sz w:val="24"/>
                <w:szCs w:val="24"/>
              </w:rPr>
              <w:t>Genotype</w:t>
            </w:r>
          </w:p>
        </w:tc>
        <w:tc>
          <w:tcPr>
            <w:tcW w:w="2178" w:type="dxa"/>
          </w:tcPr>
          <w:p w:rsidR="001A6085" w:rsidRPr="00552F5D" w:rsidRDefault="001A6085" w:rsidP="00580FB8">
            <w:pPr>
              <w:spacing w:line="480" w:lineRule="auto"/>
              <w:jc w:val="both"/>
              <w:rPr>
                <w:rFonts w:ascii="Arial" w:hAnsi="Arial" w:cs="Arial"/>
                <w:b/>
                <w:sz w:val="24"/>
                <w:szCs w:val="24"/>
              </w:rPr>
            </w:pPr>
            <w:r w:rsidRPr="00552F5D">
              <w:rPr>
                <w:rFonts w:ascii="Arial" w:hAnsi="Arial" w:cs="Arial"/>
                <w:b/>
                <w:sz w:val="24"/>
                <w:szCs w:val="24"/>
              </w:rPr>
              <w:t>Reference</w:t>
            </w:r>
          </w:p>
        </w:tc>
      </w:tr>
      <w:tr w:rsidR="001A6085" w:rsidRPr="00D94EEA" w:rsidTr="00580FB8">
        <w:tc>
          <w:tcPr>
            <w:tcW w:w="2358" w:type="dxa"/>
          </w:tcPr>
          <w:p w:rsidR="001A6085" w:rsidRPr="00552F5D" w:rsidRDefault="001A6085" w:rsidP="00580FB8">
            <w:pPr>
              <w:spacing w:line="480" w:lineRule="auto"/>
              <w:jc w:val="both"/>
              <w:rPr>
                <w:rFonts w:ascii="Arial" w:hAnsi="Arial" w:cs="Arial"/>
                <w:sz w:val="24"/>
                <w:szCs w:val="24"/>
              </w:rPr>
            </w:pPr>
            <w:r w:rsidRPr="00552F5D">
              <w:rPr>
                <w:rFonts w:ascii="Arial" w:hAnsi="Arial" w:cs="Arial"/>
                <w:sz w:val="24"/>
                <w:szCs w:val="24"/>
              </w:rPr>
              <w:t>SC5314</w:t>
            </w:r>
          </w:p>
        </w:tc>
        <w:tc>
          <w:tcPr>
            <w:tcW w:w="5040" w:type="dxa"/>
          </w:tcPr>
          <w:p w:rsidR="001A6085" w:rsidRPr="00552F5D" w:rsidRDefault="001A6085" w:rsidP="00580FB8">
            <w:pPr>
              <w:spacing w:line="480" w:lineRule="auto"/>
              <w:jc w:val="both"/>
              <w:rPr>
                <w:rFonts w:ascii="Arial" w:hAnsi="Arial" w:cs="Arial"/>
                <w:sz w:val="24"/>
                <w:szCs w:val="24"/>
              </w:rPr>
            </w:pPr>
            <w:r w:rsidRPr="004F54C7">
              <w:rPr>
                <w:rFonts w:ascii="Arial" w:hAnsi="Arial" w:cs="Arial"/>
                <w:i/>
                <w:sz w:val="24"/>
                <w:szCs w:val="24"/>
              </w:rPr>
              <w:t xml:space="preserve">C. </w:t>
            </w:r>
            <w:proofErr w:type="spellStart"/>
            <w:r w:rsidRPr="004F54C7">
              <w:rPr>
                <w:rFonts w:ascii="Arial" w:hAnsi="Arial" w:cs="Arial"/>
                <w:i/>
                <w:sz w:val="24"/>
                <w:szCs w:val="24"/>
              </w:rPr>
              <w:t>albicans</w:t>
            </w:r>
            <w:proofErr w:type="spellEnd"/>
            <w:r w:rsidRPr="004F54C7">
              <w:rPr>
                <w:rFonts w:ascii="Arial" w:hAnsi="Arial" w:cs="Arial"/>
                <w:i/>
                <w:sz w:val="24"/>
                <w:szCs w:val="24"/>
              </w:rPr>
              <w:t xml:space="preserve"> </w:t>
            </w:r>
            <w:r w:rsidRPr="00552F5D">
              <w:rPr>
                <w:rFonts w:ascii="Arial" w:hAnsi="Arial" w:cs="Arial"/>
                <w:sz w:val="24"/>
                <w:szCs w:val="24"/>
              </w:rPr>
              <w:t>wild-type</w:t>
            </w:r>
          </w:p>
        </w:tc>
        <w:tc>
          <w:tcPr>
            <w:tcW w:w="2178" w:type="dxa"/>
          </w:tcPr>
          <w:p w:rsidR="001A6085" w:rsidRPr="00D94EEA" w:rsidRDefault="00D94EEA" w:rsidP="00D94EEA">
            <w:pPr>
              <w:spacing w:line="480" w:lineRule="auto"/>
              <w:jc w:val="both"/>
              <w:rPr>
                <w:rFonts w:ascii="Arial" w:hAnsi="Arial" w:cs="Arial"/>
                <w:sz w:val="24"/>
                <w:szCs w:val="24"/>
                <w:lang w:val="fr-CA"/>
              </w:rPr>
            </w:pPr>
            <w:r>
              <w:rPr>
                <w:rFonts w:ascii="Arial" w:hAnsi="Arial" w:cs="Arial"/>
                <w:sz w:val="24"/>
                <w:szCs w:val="24"/>
              </w:rPr>
              <w:fldChar w:fldCharType="begin"/>
            </w:r>
            <w:r w:rsidRPr="00D94EEA">
              <w:rPr>
                <w:rFonts w:ascii="Arial" w:hAnsi="Arial" w:cs="Arial"/>
                <w:sz w:val="24"/>
                <w:szCs w:val="24"/>
                <w:lang w:val="fr-CA"/>
              </w:rPr>
              <w:instrText xml:space="preserve"> ADDIN ZOTERO_ITEM CSL_CITATION {"citationID":"gqbOeOE2","properties":{"formattedCitation":"(Gillum {\\i{}et al.} 1984)","plainCitation":"(Gillum et al. 1984)","noteIndex":0},"citationItems":[{"id":77,"uris":["http://zotero.org/users/6823607/items/ZW9TZXXM"],"uri":["http://zotero.org/users/6823607/items/ZW9TZXXM"],"itemData":{"id":77,"type":"article-journal","abstract":"A gene bank of Sau3A partially digested Candida albicans DNA in vector YEp13 was used to complement a ura3 mutation (orotidine-5'-phosphate decarboxylase, OMPdecase) in S. cerevisiae. Two plasmids which complemented ura3 and showed clear linkage of Ura+ and plasmid markers were selected for further study. Both plasmids also complemented the corresponding OMPdecase mutation (pyrF) in E. coli. Restriction mapping and subcloning studies localized the OMPdecase complementing activity to a region common to both plasmids. Probes prepared from this common region hybridized specifically to C. albicans DNA and not to E. coli or S. cerevisiae DNA. Southern blot analysis also showed that the restriction map of the ura3 complementing region of one plasmid was colinear with C. albicans genomic DNA. Expression of the OMPdecase complementing gene in E. coli and S. cerevisiae was not dependent upon orientation relative to vector sequences, suggesting that promotion could be occurring within the C. albicans fragment. Expression was sufficient to allow complementation in S. cerevisiae with integrating as well as high copy number vectors.","container-title":"Molecular &amp; general genetics : MGG","ISSN":"0026-8925; 0026-8925","issue":"2","journalAbbreviation":"Mol.Gen.Genet.","note":"publisher-place: Germany","page":"179-182","title":"Isolation of the Candida albicans gene for orotidine-5'-phosphate decarboxylase by complementation of S. cerevisiae ura3 and E. coli pyrF mutations","volume":"198","author":[{"family":"Gillum","given":"A. M."},{"family":"Tsay","given":"E. Y."},{"family":"Kirsch","given":"D. R."}],"issued":{"date-parts":[["1984"]]}}}],"schema":"https://github.com/citation-style-language/schema/raw/master/csl-citation.json"} </w:instrText>
            </w:r>
            <w:r>
              <w:rPr>
                <w:rFonts w:ascii="Arial" w:hAnsi="Arial" w:cs="Arial"/>
                <w:sz w:val="24"/>
                <w:szCs w:val="24"/>
              </w:rPr>
              <w:fldChar w:fldCharType="separate"/>
            </w:r>
            <w:r w:rsidRPr="00D94EEA">
              <w:rPr>
                <w:rFonts w:ascii="Arial" w:hAnsi="Arial" w:cs="Arial"/>
                <w:sz w:val="24"/>
                <w:szCs w:val="24"/>
                <w:lang w:val="fr-CA"/>
              </w:rPr>
              <w:t xml:space="preserve">Gillum </w:t>
            </w:r>
            <w:r w:rsidRPr="00D94EEA">
              <w:rPr>
                <w:rFonts w:ascii="Arial" w:hAnsi="Arial" w:cs="Arial"/>
                <w:i/>
                <w:iCs/>
                <w:sz w:val="24"/>
                <w:szCs w:val="24"/>
                <w:lang w:val="fr-CA"/>
              </w:rPr>
              <w:t>et al.</w:t>
            </w:r>
            <w:r w:rsidRPr="00D94EEA">
              <w:rPr>
                <w:rFonts w:ascii="Arial" w:hAnsi="Arial" w:cs="Arial"/>
                <w:sz w:val="24"/>
                <w:szCs w:val="24"/>
                <w:lang w:val="fr-CA"/>
              </w:rPr>
              <w:t xml:space="preserve"> 1984</w:t>
            </w:r>
            <w:r>
              <w:rPr>
                <w:rFonts w:ascii="Arial" w:hAnsi="Arial" w:cs="Arial"/>
                <w:sz w:val="24"/>
                <w:szCs w:val="24"/>
              </w:rPr>
              <w:fldChar w:fldCharType="end"/>
            </w:r>
          </w:p>
        </w:tc>
      </w:tr>
      <w:tr w:rsidR="001A6085" w:rsidTr="00580FB8">
        <w:tc>
          <w:tcPr>
            <w:tcW w:w="2358" w:type="dxa"/>
          </w:tcPr>
          <w:p w:rsidR="001A6085" w:rsidRPr="00552F5D" w:rsidRDefault="001A6085" w:rsidP="00580FB8">
            <w:pPr>
              <w:spacing w:line="480" w:lineRule="auto"/>
              <w:jc w:val="both"/>
              <w:rPr>
                <w:rFonts w:ascii="Arial" w:hAnsi="Arial" w:cs="Arial"/>
                <w:sz w:val="24"/>
                <w:szCs w:val="24"/>
              </w:rPr>
            </w:pPr>
            <w:r>
              <w:rPr>
                <w:rFonts w:ascii="Arial" w:hAnsi="Arial" w:cs="Arial"/>
                <w:sz w:val="24"/>
                <w:szCs w:val="24"/>
              </w:rPr>
              <w:t>SN148a</w:t>
            </w:r>
          </w:p>
        </w:tc>
        <w:tc>
          <w:tcPr>
            <w:tcW w:w="5040" w:type="dxa"/>
          </w:tcPr>
          <w:p w:rsidR="001A6085" w:rsidRPr="006A6AAB" w:rsidRDefault="001A6085" w:rsidP="00580FB8">
            <w:pPr>
              <w:spacing w:line="480" w:lineRule="auto"/>
              <w:jc w:val="both"/>
              <w:rPr>
                <w:rFonts w:ascii="Arial" w:hAnsi="Arial" w:cs="Arial"/>
                <w:i/>
                <w:sz w:val="24"/>
                <w:szCs w:val="24"/>
              </w:rPr>
            </w:pPr>
            <w:proofErr w:type="spellStart"/>
            <w:r w:rsidRPr="006A6AAB">
              <w:rPr>
                <w:rFonts w:ascii="Arial" w:hAnsi="Arial" w:cs="Arial"/>
                <w:i/>
                <w:sz w:val="24"/>
                <w:szCs w:val="24"/>
              </w:rPr>
              <w:t>MATa</w:t>
            </w:r>
            <w:proofErr w:type="spellEnd"/>
            <w:r w:rsidRPr="006A6AAB">
              <w:rPr>
                <w:rFonts w:ascii="Arial" w:hAnsi="Arial" w:cs="Arial"/>
                <w:i/>
                <w:sz w:val="24"/>
                <w:szCs w:val="24"/>
              </w:rPr>
              <w:t>/a arg4/arg4 leu2/leu2 his1/his1 ura3::imm434/ura3::imm434 iro1::imm434/iro1::imm434</w:t>
            </w:r>
          </w:p>
        </w:tc>
        <w:tc>
          <w:tcPr>
            <w:tcW w:w="2178" w:type="dxa"/>
          </w:tcPr>
          <w:p w:rsidR="001A6085" w:rsidRPr="00DB3210" w:rsidRDefault="001A6085" w:rsidP="00580FB8">
            <w:pPr>
              <w:spacing w:line="480" w:lineRule="auto"/>
              <w:jc w:val="both"/>
              <w:rPr>
                <w:rFonts w:ascii="Arial" w:hAnsi="Arial" w:cs="Arial"/>
                <w:sz w:val="24"/>
                <w:szCs w:val="24"/>
                <w:highlight w:val="green"/>
              </w:rPr>
            </w:pPr>
            <w:proofErr w:type="spellStart"/>
            <w:r w:rsidRPr="002A19E5">
              <w:rPr>
                <w:rFonts w:ascii="Arial" w:hAnsi="Arial" w:cs="Arial"/>
                <w:sz w:val="24"/>
                <w:szCs w:val="24"/>
              </w:rPr>
              <w:t>Renjie</w:t>
            </w:r>
            <w:proofErr w:type="spellEnd"/>
            <w:r w:rsidRPr="002A19E5">
              <w:rPr>
                <w:rFonts w:ascii="Arial" w:hAnsi="Arial" w:cs="Arial"/>
                <w:sz w:val="24"/>
                <w:szCs w:val="24"/>
              </w:rPr>
              <w:t xml:space="preserve"> Tang</w:t>
            </w:r>
          </w:p>
        </w:tc>
      </w:tr>
      <w:tr w:rsidR="001A6085" w:rsidTr="00580FB8">
        <w:tc>
          <w:tcPr>
            <w:tcW w:w="2358" w:type="dxa"/>
          </w:tcPr>
          <w:p w:rsidR="001A6085" w:rsidRPr="00552F5D" w:rsidRDefault="001A6085" w:rsidP="00580FB8">
            <w:pPr>
              <w:spacing w:line="480" w:lineRule="auto"/>
              <w:jc w:val="both"/>
              <w:rPr>
                <w:rFonts w:ascii="Arial" w:hAnsi="Arial" w:cs="Arial"/>
                <w:sz w:val="24"/>
                <w:szCs w:val="24"/>
              </w:rPr>
            </w:pPr>
            <w:r>
              <w:rPr>
                <w:rFonts w:ascii="Arial" w:hAnsi="Arial" w:cs="Arial"/>
                <w:sz w:val="24"/>
                <w:szCs w:val="24"/>
              </w:rPr>
              <w:t>3315</w:t>
            </w:r>
            <w:r>
              <w:rPr>
                <w:rFonts w:ascii="Calibri" w:hAnsi="Calibri" w:cs="Arial"/>
                <w:sz w:val="24"/>
                <w:szCs w:val="24"/>
              </w:rPr>
              <w:t>α</w:t>
            </w:r>
          </w:p>
        </w:tc>
        <w:tc>
          <w:tcPr>
            <w:tcW w:w="5040" w:type="dxa"/>
          </w:tcPr>
          <w:p w:rsidR="001A6085" w:rsidRPr="006A6AAB" w:rsidRDefault="001A6085" w:rsidP="00580FB8">
            <w:pPr>
              <w:ind w:left="2"/>
              <w:rPr>
                <w:rFonts w:ascii="Arial" w:hAnsi="Arial" w:cs="Arial"/>
                <w:i/>
                <w:sz w:val="24"/>
                <w:szCs w:val="24"/>
              </w:rPr>
            </w:pPr>
            <w:proofErr w:type="spellStart"/>
            <w:r w:rsidRPr="006A6AAB">
              <w:rPr>
                <w:rFonts w:ascii="Arial" w:eastAsia="Times New Roman" w:hAnsi="Arial" w:cs="Arial"/>
                <w:i/>
                <w:sz w:val="24"/>
                <w:szCs w:val="24"/>
              </w:rPr>
              <w:t>MATalpha</w:t>
            </w:r>
            <w:proofErr w:type="spellEnd"/>
            <w:r w:rsidRPr="006A6AAB">
              <w:rPr>
                <w:rFonts w:ascii="Arial" w:eastAsia="Times New Roman" w:hAnsi="Arial" w:cs="Arial"/>
                <w:i/>
                <w:sz w:val="24"/>
                <w:szCs w:val="24"/>
              </w:rPr>
              <w:t xml:space="preserve">/alpha trp1/trp1; lys2/lys2 </w:t>
            </w:r>
          </w:p>
        </w:tc>
        <w:tc>
          <w:tcPr>
            <w:tcW w:w="2178" w:type="dxa"/>
          </w:tcPr>
          <w:p w:rsidR="001A6085" w:rsidRPr="002A19E5" w:rsidRDefault="001A6085" w:rsidP="00580FB8">
            <w:pPr>
              <w:spacing w:line="480" w:lineRule="auto"/>
              <w:jc w:val="both"/>
              <w:rPr>
                <w:rFonts w:ascii="Arial" w:hAnsi="Arial" w:cs="Arial"/>
                <w:sz w:val="24"/>
                <w:szCs w:val="24"/>
              </w:rPr>
            </w:pPr>
            <w:r w:rsidRPr="002A19E5">
              <w:rPr>
                <w:rFonts w:ascii="Arial" w:hAnsi="Arial" w:cs="Arial"/>
                <w:sz w:val="24"/>
                <w:szCs w:val="24"/>
              </w:rPr>
              <w:t>P. T. Magee</w:t>
            </w:r>
          </w:p>
        </w:tc>
      </w:tr>
      <w:tr w:rsidR="001A6085" w:rsidRPr="00D94EEA" w:rsidTr="00580FB8">
        <w:tc>
          <w:tcPr>
            <w:tcW w:w="235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3745a</w:t>
            </w:r>
          </w:p>
        </w:tc>
        <w:tc>
          <w:tcPr>
            <w:tcW w:w="5040" w:type="dxa"/>
          </w:tcPr>
          <w:p w:rsidR="001A6085" w:rsidRPr="006A6AAB" w:rsidRDefault="001A6085" w:rsidP="00580FB8">
            <w:pPr>
              <w:ind w:left="2"/>
              <w:rPr>
                <w:rFonts w:ascii="Arial" w:hAnsi="Arial" w:cs="Arial"/>
                <w:i/>
                <w:sz w:val="24"/>
                <w:szCs w:val="24"/>
              </w:rPr>
            </w:pPr>
            <w:proofErr w:type="spellStart"/>
            <w:r w:rsidRPr="006A6AAB">
              <w:rPr>
                <w:rFonts w:ascii="Arial" w:eastAsia="Times New Roman" w:hAnsi="Arial" w:cs="Arial"/>
                <w:i/>
                <w:sz w:val="24"/>
                <w:szCs w:val="24"/>
              </w:rPr>
              <w:t>MATa</w:t>
            </w:r>
            <w:proofErr w:type="spellEnd"/>
            <w:r w:rsidRPr="006A6AAB">
              <w:rPr>
                <w:rFonts w:ascii="Arial" w:eastAsia="Times New Roman" w:hAnsi="Arial" w:cs="Arial"/>
                <w:i/>
                <w:sz w:val="24"/>
                <w:szCs w:val="24"/>
              </w:rPr>
              <w:t xml:space="preserve">/a trp1/trp1; lys2/lys2 </w:t>
            </w:r>
          </w:p>
        </w:tc>
        <w:tc>
          <w:tcPr>
            <w:tcW w:w="2178" w:type="dxa"/>
          </w:tcPr>
          <w:p w:rsidR="001A6085" w:rsidRPr="00D94EEA" w:rsidRDefault="00D94EEA" w:rsidP="00D94EEA">
            <w:pPr>
              <w:spacing w:line="480" w:lineRule="auto"/>
              <w:jc w:val="both"/>
              <w:rPr>
                <w:rFonts w:ascii="Arial" w:hAnsi="Arial" w:cs="Arial"/>
                <w:sz w:val="24"/>
                <w:szCs w:val="24"/>
                <w:lang w:val="fr-CA"/>
              </w:rPr>
            </w:pPr>
            <w:r>
              <w:rPr>
                <w:rFonts w:ascii="Arial" w:hAnsi="Arial" w:cs="Arial"/>
                <w:sz w:val="24"/>
                <w:szCs w:val="24"/>
              </w:rPr>
              <w:fldChar w:fldCharType="begin"/>
            </w:r>
            <w:r w:rsidRPr="00D94EEA">
              <w:rPr>
                <w:rFonts w:ascii="Arial" w:hAnsi="Arial" w:cs="Arial"/>
                <w:sz w:val="24"/>
                <w:szCs w:val="24"/>
                <w:lang w:val="fr-CA"/>
              </w:rPr>
              <w:instrText xml:space="preserve"> ADDIN ZOTERO_ITEM CSL_CITATION {"citationID":"alZ3Ur1r","properties":{"formattedCitation":"(Panwar {\\i{}et al.} 2003)","plainCitation":"(Panwar et al. 2003)","noteIndex":0},"citationItems":[{"id":411,"uris":["http://zotero.org/users/6823607/items/ULF35R8I"],"uri":["http://zotero.org/users/6823607/items/ULF35R8I"],"itemData":{"id":411,"type":"article-journal","abstract":"Candida albicans, the single most frequently isolated human fungal pathogen, was thought to be asexual until the recent discovery of the mating-type-like locus (MTL). Homozygous MTL strains were constructed and shown to mate. Furthermore, it has been demonstrated that opaque-phase cells are more efficient in mating than white-phase cells. The similarity of the genes involved in the mating pathway in Saccharomyces cerevisiae and C. albicans includes at least one gene (KEX2) that is involved in the processing of the alpha mating pheromone in the two yeasts. Taking into account this similarity, we searched the C. albicans genome for sequences that would encode the alpha pheromone gene. Here we report the isolation and characterization of the gene MFalpha1, which codes for the precursor of the alpha mating pheromone in C. albicans. Two active alpha-peptides, 13 and 14 amino acids long, would be generated after the precursor molecule is processed in C. albicans. To examine the role of this gene in mating, we constructed an mfalpha1 null mutant of C. albicans. The mfalpha1 null mutant fails to mate as MTLalpha, while MTLa mfalpha1 cells are still mating competent. Experiments performed with the synthetic alpha-peptides show that they are capable of inducing growth arrest, as demonstrated by halo tests, and also induce shmooing in MTLa cells of C. albicans. These peptides are also able to complement the mating defect of an MTLalpha kex2 mutant strain when added exogenously, thereby confirming their roles as alpha mating pheromones.","container-title":"Eukaryotic Cell","DOI":"10.1128/ec.2.6.1350-1360.2003","ISSN":"1535-9778","issue":"6","journalAbbreviation":"Eukaryotic Cell","language":"eng","note":"PMID: 14665468\nPMCID: PMC326654","page":"1350-1360","source":"PubMed","title":"MFalpha1, the gene encoding the alpha mating pheromone of Candida albicans","volume":"2","author":[{"family":"Panwar","given":"Sneh L."},{"family":"Legrand","given":"Melanie"},{"family":"Dignard","given":"Daniel"},{"family":"Whiteway","given":"Malcolm"},{"family":"Magee","given":"Paul T."}],"issued":{"date-parts":[["2003",12]]}}}],"schema":"https://github.com/citation-style-language/schema/raw/master/csl-citation.json"} </w:instrText>
            </w:r>
            <w:r>
              <w:rPr>
                <w:rFonts w:ascii="Arial" w:hAnsi="Arial" w:cs="Arial"/>
                <w:sz w:val="24"/>
                <w:szCs w:val="24"/>
              </w:rPr>
              <w:fldChar w:fldCharType="separate"/>
            </w:r>
            <w:r w:rsidRPr="00D94EEA">
              <w:rPr>
                <w:rFonts w:ascii="Arial" w:hAnsi="Arial" w:cs="Arial"/>
                <w:sz w:val="24"/>
                <w:szCs w:val="24"/>
                <w:lang w:val="fr-CA"/>
              </w:rPr>
              <w:t xml:space="preserve">Panwar </w:t>
            </w:r>
            <w:r w:rsidRPr="00D94EEA">
              <w:rPr>
                <w:rFonts w:ascii="Arial" w:hAnsi="Arial" w:cs="Arial"/>
                <w:i/>
                <w:iCs/>
                <w:sz w:val="24"/>
                <w:szCs w:val="24"/>
                <w:lang w:val="fr-CA"/>
              </w:rPr>
              <w:t>et al.</w:t>
            </w:r>
            <w:r w:rsidRPr="00D94EEA">
              <w:rPr>
                <w:rFonts w:ascii="Arial" w:hAnsi="Arial" w:cs="Arial"/>
                <w:sz w:val="24"/>
                <w:szCs w:val="24"/>
                <w:lang w:val="fr-CA"/>
              </w:rPr>
              <w:t xml:space="preserve"> 2003</w:t>
            </w:r>
            <w:r>
              <w:rPr>
                <w:rFonts w:ascii="Arial" w:hAnsi="Arial" w:cs="Arial"/>
                <w:sz w:val="24"/>
                <w:szCs w:val="24"/>
              </w:rPr>
              <w:fldChar w:fldCharType="end"/>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cag1Δ/Δ</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cag1::ARG4/cag1::ARG4 leu2/leu2 his1/his1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ste2Δ/Δ</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ste2::ARG4/ste2::ARG4 leu2/leu2 his1/his1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ste4Δ/Δ</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ste4::ARG4/ste4::ARG4 leu2/leu2 his1/his1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ste11Δ/Δ</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ste11::ARG4/ste11::ARG4 leu2/leu2 his1/his1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hst7Δ/Δ</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 xml:space="preserve">hst7::ARG4/hst7::ARG4 leu2/leu2 his1/his1 ura3::imm434/ura3::imm434 </w:t>
            </w:r>
            <w:r w:rsidRPr="006A6AAB">
              <w:rPr>
                <w:rFonts w:ascii="Arial" w:hAnsi="Arial" w:cs="Arial"/>
                <w:i/>
                <w:sz w:val="24"/>
                <w:szCs w:val="24"/>
              </w:rPr>
              <w:lastRenderedPageBreak/>
              <w:t>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lastRenderedPageBreak/>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lastRenderedPageBreak/>
              <w:t>CST5-CAAX/CST5-CAAX</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CST5-CAAX::HIS1/CST5-CAAX::HIS1 arg4/arg4 leu2/leu2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CST5-CAAX/CST5-CAAX cag1Δ/Δ</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cag1::ARG4/cag1::ARG4 CST5-CAAX::HIS1/CST5-CAAX::HIS1 leu2/leu2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CST5-CAAX/CST5-CAAX ste2Δ/Δ</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ste2::ARG4/ste2::ARG4 CST5-CAAX::HIS1/CST5-CAAX::HIS1 leu2/leu2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CST5-CAAX/CST5-CAAX ste4Δ/Δ</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ste4::ARG4/ste4::ARG4 CST5-CAAX::HIS1/CST5-CAAX::HIS1 leu2/leu2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CST5-CAAX/CST5-CAAX ste11Δ/Δ</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ste11::ARG4/ste11::ARG4 CST5-CAAX::HIS1/CST5-CAAX::HIS1 leu2/leu2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CST5-CAAX/CST5-CAAX hst7Δ/Δ</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 xml:space="preserve">hst7::ARG4/hst7::ARG4 CST5-CAAX::HIS1/CST5-CAAX::HIS1 leu2/leu2 </w:t>
            </w:r>
            <w:r w:rsidRPr="006A6AAB">
              <w:rPr>
                <w:rFonts w:ascii="Arial" w:hAnsi="Arial" w:cs="Arial"/>
                <w:i/>
                <w:sz w:val="24"/>
                <w:szCs w:val="24"/>
              </w:rPr>
              <w:lastRenderedPageBreak/>
              <w:t>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lastRenderedPageBreak/>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lastRenderedPageBreak/>
              <w:t>CST5-GFP/CST5-GFP</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CST5-GFP::HIS1/CST5-GFP::HIS1 arg4/arg4 leu2/leu2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CST5-GFP/CST5-GFP cag1Δ/Δ</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cag1::ARG4/cag1::ARG4 CST5-GFP::HIS1/CST5-GFP::HIS1 leu2/leu2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CST5-GFP/CST5-GFP ste2Δ/Δ</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ste2::ARG4/ste2::ARG4 CST5-GFP::HIS1/CST5-GFP::HIS1 leu2/leu2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CST5-GFP/CST5-GFP ste4Δ/Δ</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ste4::ARG4/ste4::ARG4 CST5-GFP::HIS1/CST5-GFP::HIS1 leu2/leu2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CST5-GFP/CST5-GFP ste11Δ/Δ</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ste11::ARG4/ste11::ARG4 CST5-GFP::HIS1/CST5-GFP::HIS1 leu2/leu2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CST5-GFP/CST5-</w:t>
            </w:r>
            <w:r w:rsidRPr="006A6AAB">
              <w:rPr>
                <w:rFonts w:ascii="Arial" w:hAnsi="Arial" w:cs="Arial"/>
                <w:i/>
                <w:sz w:val="24"/>
                <w:szCs w:val="24"/>
              </w:rPr>
              <w:lastRenderedPageBreak/>
              <w:t>GFP hst7Δ/Δ</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lastRenderedPageBreak/>
              <w:t>hst7::ARG4/hst7::ARG4 CST5-</w:t>
            </w:r>
            <w:r w:rsidRPr="006A6AAB">
              <w:rPr>
                <w:rFonts w:ascii="Arial" w:hAnsi="Arial" w:cs="Arial"/>
                <w:i/>
                <w:sz w:val="24"/>
                <w:szCs w:val="24"/>
              </w:rPr>
              <w:lastRenderedPageBreak/>
              <w:t>GFP::HIS1/CST5-GFP::HIS1 leu2/leu2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lastRenderedPageBreak/>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lastRenderedPageBreak/>
              <w:t>CST5-GFP/CST5-GFP ste11Δ/Δ cag1Δ/Δ</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ste11::ARG4/ste11::ARG4 CST5-GFP::HIS1/CST5-GFP::HIS1 cag1::LEU2/cag1::LEU2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CST5-GFP/CST5-GFP ste11Δ/Δ ste4Δ/Δ</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ste11::ARG4/ste11::ARG4 CST5-GFP::HIS1/CST5-GFP::HIS1 ste4::LEU2/ste4::LEU2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CST5-GFP/CST5-GFP ste11Δ/Δ hst7Δ/Δ</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ste11::ARG4/ste11::ARG4 CST5-GFP::HIS1/CST5-GFP::HIS1 hst7::LEU2/hst7::LEU2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STE11-CAAX/STE11-CAAX</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STE11-CAAX::HIS1/STE11-CAAX::HIS1 arg4/arg4 leu2/leu2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STE11-</w:t>
            </w:r>
            <w:r w:rsidRPr="006A6AAB">
              <w:rPr>
                <w:rFonts w:ascii="Arial" w:hAnsi="Arial" w:cs="Arial"/>
                <w:i/>
                <w:sz w:val="24"/>
                <w:szCs w:val="24"/>
              </w:rPr>
              <w:lastRenderedPageBreak/>
              <w:t>CAAX/STE11-CAAX cst5Δ/Δ</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lastRenderedPageBreak/>
              <w:t>cst5::ARG4/cst5::ARG4 STE11-</w:t>
            </w:r>
            <w:r w:rsidRPr="006A6AAB">
              <w:rPr>
                <w:rFonts w:ascii="Arial" w:hAnsi="Arial" w:cs="Arial"/>
                <w:i/>
                <w:sz w:val="24"/>
                <w:szCs w:val="24"/>
              </w:rPr>
              <w:lastRenderedPageBreak/>
              <w:t>CAAX::HIS1/STE11-CAAX::HIS1 leu2/leu2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lastRenderedPageBreak/>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lastRenderedPageBreak/>
              <w:t>CEK1-GFP/CEK1-GFP</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CEK1-GFP::HIS1/CEK1-GFP::HIS1 arg4/arg4 leu2/leu2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CEK1-GFP/CEK1-GFP ste11Δ/Δ</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ste11::ARG4/ste11::ARG4 CEK1-GFP::HIS1/CEK1-GFP::HIS1 leu2/leu2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CEK1-GFP/CEK1-GFP hst7Δ/Δ</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hst7::ARG4/hst7::ARG4 CEK2-GFP::HIS1/CEK2-GFP::HIS1 leu2/leu2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This study</w:t>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CEK2-GFP/CEK2-GFP</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CEK2-GFP-URA3::imm434/CEK2-GFP-URA3::imm434</w:t>
            </w:r>
          </w:p>
        </w:tc>
        <w:tc>
          <w:tcPr>
            <w:tcW w:w="2178" w:type="dxa"/>
          </w:tcPr>
          <w:p w:rsidR="001A6085" w:rsidRDefault="001F5A43" w:rsidP="001F5A43">
            <w:pPr>
              <w:spacing w:line="48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ADDIN ZOTERO_ITEM CSL_CITATION {"citationID":"TF4frTsR","properties":{"formattedCitation":"(Rastghalam {\\i{}et al.} 2019)","plainCitation":"(Rastghalam et al. 2019)","noteIndex":0},"citationItems":[{"id":405,"uris":["http://zotero.org/users/6823607/items/ZBYPCKCU"],"uri":["http://zotero.org/users/6823607/items/ZBYPCKCU"],"itemData":{"id":405,"type":"article-journal","abstract":"We investigated the relationships of the Cek1 and Cek2 mitogen-activated protein (MAP) kinases and the putative MAP kinase phosphatase Cpp1 in the mating process of Candida albicans Mutants of the CPP1 gene are hyperresponsive to pheromone, generating large halos, high levels of projections, and an increase in pheromone-responsive gene expression. Mating-type-homozygous opaque cells that lack both kinases are sterile, consistent with previous observations, although several lines of evidence show that the two kinases do not simply provide redundant functions in the mating process. Loss of CEK1 reduces mating significantly, to about 0.3% of wild-type strains, and also reduces projection formation and pheromone-mediated gene expression. In contrast, loss of CEK2 has less of an effect, reducing mating to approximately one-third that of the wild-type strain and moderately reducing projection formation but having little influence on the induction of gene expression. However, loss of Cek2 function reduces adaptation to pheromone-mediated arrest. The mutation enhances pheromone response halos to a level similar to that of cpp1 mutants, although the cpp1 mutants are considerably more mating defective than the cek2 mutant. The double cek2 cpp1 mutant shows enhanced responsiveness relative to either single mutant in terms of gene expression and halo formation, suggesting the kinase and phosphatase roles in the adaptation process are independent. Analysis of protein phosphorylation shows that Cek1 undergoes pheromone-mediated phosphorylation of the activation loop, and this phosphorylation is enhanced in cells lacking either the Cpp1 phosphatase or the Cek2 kinase. In addition, Cek1-GFP shows enhanced nuclear localization in response to pheromone treatment. In contrast, Cek2 shows no evidence for pheromone-mediated phosphorylation or pheromone-mediated nuclear localization. Intriguingly, however, deletion of CPP1 enhances both the phosphorylation state and the nuclear localization of Cek2-GFP. Overall, these results identify a complex interaction among the MAP kinases and MAP kinase phosphatase that function in the C. albicans mating pathway.IMPORTANCE MAP kinases and their regulators are critical components of eukaryotic signaling pathways implicated in normal cell behavior as well as abnormal behaviors linked to diseases such as cancer. The mating pathway of the yeast Saccharomycescerevisiae was central in establishing the MAP kinase paradigm. Here we investigate the mating pathway in a different ascomycete, the fungal pathogen C. albicans In this dimorphic fungus MAP kinases are also implicated in the mating response, with two MAP kinases apparently playing redundant roles in the mating process. This work establishes that while some level of mating can occur in the presence of a single kinase, the Cek1 kinase is most important for mating, while the Cek2 kinase is involved in adaptation to signaling. While both kinases appear to be themselves regulated by dephosphorylation through the action of the Cpp1 phosphatase, this process appears important for mating only in the case of Cek1.","container-title":"mSphere","DOI":"10.1128/mSphere.00598-18","ISSN":"2379-5042","issue":"1","journalAbbreviation":"mSphere","language":"eng","note":"PMID: 30787119\nPMCID: PMC6382970","source":"PubMed","title":"MAP Kinase Regulation of the Candida albicans Pheromone Pathway","volume":"4","author":[{"family":"Rastghalam","given":"Golnaz"},{"family":"Omran","given":"Raha Parvizi"},{"family":"Alizadeh","given":"Masoumeh"},{"family":"Fulton","given":"Debrah"},{"family":"Mallick","given":"Jaideep"},{"family":"Whiteway","given":"Malcolm"}],"issued":{"date-parts":[["2019"]],"season":"20"}}}],"schema":"https://github.com/citation-style-language/schema/raw/master/csl-citation.json"} </w:instrText>
            </w:r>
            <w:r>
              <w:rPr>
                <w:rFonts w:ascii="Arial" w:hAnsi="Arial" w:cs="Arial"/>
                <w:sz w:val="24"/>
                <w:szCs w:val="24"/>
              </w:rPr>
              <w:fldChar w:fldCharType="separate"/>
            </w:r>
            <w:r w:rsidRPr="001F5A43">
              <w:rPr>
                <w:rFonts w:ascii="Arial" w:hAnsi="Arial" w:cs="Arial"/>
                <w:sz w:val="24"/>
                <w:szCs w:val="24"/>
              </w:rPr>
              <w:t xml:space="preserve">Rastghalam </w:t>
            </w:r>
            <w:r w:rsidRPr="001F5A43">
              <w:rPr>
                <w:rFonts w:ascii="Arial" w:hAnsi="Arial" w:cs="Arial"/>
                <w:i/>
                <w:iCs/>
                <w:sz w:val="24"/>
                <w:szCs w:val="24"/>
              </w:rPr>
              <w:t>et al.</w:t>
            </w:r>
            <w:r w:rsidRPr="001F5A43">
              <w:rPr>
                <w:rFonts w:ascii="Arial" w:hAnsi="Arial" w:cs="Arial"/>
                <w:sz w:val="24"/>
                <w:szCs w:val="24"/>
              </w:rPr>
              <w:t xml:space="preserve"> 2019</w:t>
            </w:r>
            <w:r>
              <w:rPr>
                <w:rFonts w:ascii="Arial" w:hAnsi="Arial" w:cs="Arial"/>
                <w:sz w:val="24"/>
                <w:szCs w:val="24"/>
              </w:rPr>
              <w:fldChar w:fldCharType="end"/>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Pr>
                <w:rFonts w:ascii="Arial" w:hAnsi="Arial" w:cs="Arial"/>
                <w:i/>
                <w:sz w:val="24"/>
                <w:szCs w:val="24"/>
              </w:rPr>
              <w:t>cek2Δ/Δ</w:t>
            </w:r>
          </w:p>
        </w:tc>
        <w:tc>
          <w:tcPr>
            <w:tcW w:w="5040" w:type="dxa"/>
          </w:tcPr>
          <w:p w:rsidR="001A6085" w:rsidRPr="006A6AAB" w:rsidRDefault="001A6085" w:rsidP="00580FB8">
            <w:pPr>
              <w:spacing w:line="480" w:lineRule="auto"/>
              <w:jc w:val="both"/>
              <w:rPr>
                <w:rFonts w:ascii="Arial" w:hAnsi="Arial" w:cs="Arial"/>
                <w:i/>
                <w:sz w:val="24"/>
                <w:szCs w:val="24"/>
              </w:rPr>
            </w:pPr>
            <w:r>
              <w:rPr>
                <w:rFonts w:ascii="Arial" w:hAnsi="Arial" w:cs="Arial"/>
                <w:i/>
                <w:sz w:val="24"/>
                <w:szCs w:val="24"/>
              </w:rPr>
              <w:t>ura3/ura3 cek2::TAA (32</w:t>
            </w:r>
            <w:r w:rsidRPr="00A17866">
              <w:rPr>
                <w:rFonts w:ascii="Arial" w:hAnsi="Arial" w:cs="Arial"/>
                <w:i/>
                <w:sz w:val="24"/>
                <w:szCs w:val="24"/>
                <w:vertAlign w:val="superscript"/>
              </w:rPr>
              <w:t>nd</w:t>
            </w:r>
            <w:r>
              <w:rPr>
                <w:rFonts w:ascii="Arial" w:hAnsi="Arial" w:cs="Arial"/>
                <w:i/>
                <w:sz w:val="24"/>
                <w:szCs w:val="24"/>
              </w:rPr>
              <w:t xml:space="preserve"> and 37</w:t>
            </w:r>
            <w:r w:rsidRPr="00A17866">
              <w:rPr>
                <w:rFonts w:ascii="Arial" w:hAnsi="Arial" w:cs="Arial"/>
                <w:i/>
                <w:sz w:val="24"/>
                <w:szCs w:val="24"/>
                <w:vertAlign w:val="superscript"/>
              </w:rPr>
              <w:t>th</w:t>
            </w:r>
            <w:r>
              <w:rPr>
                <w:rFonts w:ascii="Arial" w:hAnsi="Arial" w:cs="Arial"/>
                <w:i/>
                <w:sz w:val="24"/>
                <w:szCs w:val="24"/>
              </w:rPr>
              <w:t xml:space="preserve"> amino acids)/cek2::TAA (32</w:t>
            </w:r>
            <w:r w:rsidRPr="00A17866">
              <w:rPr>
                <w:rFonts w:ascii="Arial" w:hAnsi="Arial" w:cs="Arial"/>
                <w:i/>
                <w:sz w:val="24"/>
                <w:szCs w:val="24"/>
                <w:vertAlign w:val="superscript"/>
              </w:rPr>
              <w:t>nd</w:t>
            </w:r>
            <w:r>
              <w:rPr>
                <w:rFonts w:ascii="Arial" w:hAnsi="Arial" w:cs="Arial"/>
                <w:i/>
                <w:sz w:val="24"/>
                <w:szCs w:val="24"/>
              </w:rPr>
              <w:t xml:space="preserve"> and 37</w:t>
            </w:r>
            <w:r w:rsidRPr="00A17866">
              <w:rPr>
                <w:rFonts w:ascii="Arial" w:hAnsi="Arial" w:cs="Arial"/>
                <w:i/>
                <w:sz w:val="24"/>
                <w:szCs w:val="24"/>
                <w:vertAlign w:val="superscript"/>
              </w:rPr>
              <w:t>th</w:t>
            </w:r>
            <w:r>
              <w:rPr>
                <w:rFonts w:ascii="Arial" w:hAnsi="Arial" w:cs="Arial"/>
                <w:i/>
                <w:sz w:val="24"/>
                <w:szCs w:val="24"/>
              </w:rPr>
              <w:t xml:space="preserve"> amino acids)</w:t>
            </w:r>
          </w:p>
        </w:tc>
        <w:tc>
          <w:tcPr>
            <w:tcW w:w="2178" w:type="dxa"/>
          </w:tcPr>
          <w:p w:rsidR="001A6085" w:rsidRDefault="001F5A43" w:rsidP="001F5A43">
            <w:pPr>
              <w:spacing w:line="480" w:lineRule="auto"/>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ADDIN ZOTERO_ITEM CSL_CITATION {"citationID":"dxcqaD0O","properties":{"formattedCitation":"(Rastghalam {\\i{}et al.} 2019)","plainCitation":"(Rastghalam et al. 2019)","noteIndex":0},"citationItems":[{"id":405,"uris":["http://zotero.org/users/6823607/items/ZBYPCKCU"],"uri":["http://zotero.org/users/6823607/items/ZBYPCKCU"],"itemData":{"id":405,"type":"article-journal","abstract":"We investigated the relationships of the Cek1 and Cek2 mitogen-activated protein (MAP) kinases and the putative MAP kinase phosphatase Cpp1 in the mating process of Candida albicans Mutants of the CPP1 gene are hyperresponsive to pheromone, generating large halos, high levels of projections, and an increase in pheromone-responsive gene expression. Mating-type-homozygous opaque cells that lack both kinases are sterile, consistent with previous observations, although several lines of evidence show that the two kinases do not simply provide redundant functions in the mating process. Loss of CEK1 reduces mating significantly, to about 0.3% of wild-type strains, and also reduces projection formation and pheromone-mediated gene expression. In contrast, loss of CEK2 has less of an effect, reducing mating to approximately one-third that of the wild-type strain and moderately reducing projection formation but having little influence on the induction of gene expression. However, loss of Cek2 function reduces adaptation to pheromone-mediated arrest. The mutation enhances pheromone response halos to a level similar to that of cpp1 mutants, although the cpp1 mutants are considerably more mating defective than the cek2 mutant. The double cek2 cpp1 mutant shows enhanced responsiveness relative to either single mutant in terms of gene expression and halo formation, suggesting the kinase and phosphatase roles in the adaptation process are independent. Analysis of protein phosphorylation shows that Cek1 undergoes pheromone-mediated phosphorylation of the activation loop, and this phosphorylation is enhanced in cells lacking either the Cpp1 phosphatase or the Cek2 kinase. In addition, Cek1-GFP shows enhanced nuclear localization in response to pheromone treatment. In contrast, Cek2 shows no evidence for pheromone-mediated phosphorylation or pheromone-mediated nuclear localization. Intriguingly, however, deletion of CPP1 enhances both the phosphorylation state and the nuclear localization of Cek2-GFP. Overall, these results identify a complex interaction among the MAP kinases and MAP kinase phosphatase that function in the C. albicans mating pathway.IMPORTANCE MAP kinases and their regulators are critical components of eukaryotic signaling pathways implicated in normal cell behavior as well as abnormal behaviors linked to diseases such as cancer. The mating pathway of the yeast Saccharomycescerevisiae was central in establishing the MAP kinase paradigm. Here we investigate the mating pathway in a different ascomycete, the fungal pathogen C. albicans In this dimorphic fungus MAP kinases are also implicated in the mating response, with two MAP kinases apparently playing redundant roles in the mating process. This work establishes that while some level of mating can occur in the presence of a single kinase, the Cek1 kinase is most important for mating, while the Cek2 kinase is involved in adaptation to signaling. While both kinases appear to be themselves regulated by dephosphorylation through the action of the Cpp1 phosphatase, this process appears important for mating only in the case of Cek1.","container-title":"mSphere","DOI":"10.1128/mSphere.00598-18","ISSN":"2379-5042","issue":"1","journalAbbreviation":"mSphere","language":"eng","note":"PMID: 30787119\nPMCID: PMC6382970","source":"PubMed","title":"MAP Kinase Regulation of the Candida albicans Pheromone Pathway","volume":"4","author":[{"family":"Rastghalam","given":"Golnaz"},{"family":"Omran","given":"Raha Parvizi"},{"family":"Alizadeh","given":"Masoumeh"},{"family":"Fulton","given":"Debrah"},{"family":"Mallick","given":"Jaideep"},{"family":"Whiteway","given":"Malcolm"}],"issued":{"date-parts":[["2019"]],"season":"20"}}}],"schema":"https://github.com/citation-style-language/schema/raw/master/csl-citation.json"} </w:instrText>
            </w:r>
            <w:r>
              <w:rPr>
                <w:rFonts w:ascii="Arial" w:hAnsi="Arial" w:cs="Arial"/>
                <w:sz w:val="24"/>
                <w:szCs w:val="24"/>
              </w:rPr>
              <w:fldChar w:fldCharType="separate"/>
            </w:r>
            <w:r w:rsidRPr="001F5A43">
              <w:rPr>
                <w:rFonts w:ascii="Arial" w:hAnsi="Arial" w:cs="Arial"/>
                <w:sz w:val="24"/>
                <w:szCs w:val="24"/>
              </w:rPr>
              <w:t xml:space="preserve">Rastghalam </w:t>
            </w:r>
            <w:r w:rsidRPr="001F5A43">
              <w:rPr>
                <w:rFonts w:ascii="Arial" w:hAnsi="Arial" w:cs="Arial"/>
                <w:i/>
                <w:iCs/>
                <w:sz w:val="24"/>
                <w:szCs w:val="24"/>
              </w:rPr>
              <w:t>et al.</w:t>
            </w:r>
            <w:r w:rsidRPr="001F5A43">
              <w:rPr>
                <w:rFonts w:ascii="Arial" w:hAnsi="Arial" w:cs="Arial"/>
                <w:sz w:val="24"/>
                <w:szCs w:val="24"/>
              </w:rPr>
              <w:t xml:space="preserve"> 2019</w:t>
            </w:r>
            <w:r>
              <w:rPr>
                <w:rFonts w:ascii="Arial" w:hAnsi="Arial" w:cs="Arial"/>
                <w:sz w:val="24"/>
                <w:szCs w:val="24"/>
              </w:rPr>
              <w:fldChar w:fldCharType="end"/>
            </w:r>
          </w:p>
        </w:tc>
      </w:tr>
      <w:tr w:rsidR="001A6085" w:rsidTr="00580FB8">
        <w:tc>
          <w:tcPr>
            <w:tcW w:w="2358"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CEK2-GFP/CEK2-GFP ste11Δ/Δ</w:t>
            </w:r>
          </w:p>
        </w:tc>
        <w:tc>
          <w:tcPr>
            <w:tcW w:w="5040" w:type="dxa"/>
          </w:tcPr>
          <w:p w:rsidR="001A6085" w:rsidRPr="006A6AAB" w:rsidRDefault="001A6085" w:rsidP="00580FB8">
            <w:pPr>
              <w:spacing w:line="480" w:lineRule="auto"/>
              <w:jc w:val="both"/>
              <w:rPr>
                <w:rFonts w:ascii="Arial" w:hAnsi="Arial" w:cs="Arial"/>
                <w:i/>
                <w:sz w:val="24"/>
                <w:szCs w:val="24"/>
              </w:rPr>
            </w:pPr>
            <w:r w:rsidRPr="006A6AAB">
              <w:rPr>
                <w:rFonts w:ascii="Arial" w:hAnsi="Arial" w:cs="Arial"/>
                <w:i/>
                <w:sz w:val="24"/>
                <w:szCs w:val="24"/>
              </w:rPr>
              <w:t>ste11::ARG4/ste11::ARG4 CEK2-GFP::HIS1/CEK2-GFP::HIS1 leu2/leu2 ura3::imm434/ura3::imm434 iro1::imm434/iro1::imm434</w:t>
            </w:r>
          </w:p>
        </w:tc>
        <w:tc>
          <w:tcPr>
            <w:tcW w:w="2178" w:type="dxa"/>
          </w:tcPr>
          <w:p w:rsidR="001A6085" w:rsidRDefault="001A6085" w:rsidP="00580FB8">
            <w:pPr>
              <w:spacing w:line="480" w:lineRule="auto"/>
              <w:jc w:val="both"/>
              <w:rPr>
                <w:rFonts w:ascii="Arial" w:hAnsi="Arial" w:cs="Arial"/>
                <w:sz w:val="24"/>
                <w:szCs w:val="24"/>
              </w:rPr>
            </w:pPr>
            <w:r>
              <w:rPr>
                <w:rFonts w:ascii="Arial" w:hAnsi="Arial" w:cs="Arial"/>
                <w:sz w:val="24"/>
                <w:szCs w:val="24"/>
              </w:rPr>
              <w:t>This study</w:t>
            </w:r>
          </w:p>
        </w:tc>
      </w:tr>
    </w:tbl>
    <w:p w:rsidR="0017277E" w:rsidRDefault="00D94EEA">
      <w:pPr>
        <w:rPr>
          <w:rFonts w:ascii="Arial" w:hAnsi="Arial" w:cs="Arial"/>
          <w:b/>
          <w:sz w:val="24"/>
          <w:szCs w:val="24"/>
        </w:rPr>
      </w:pPr>
      <w:r w:rsidRPr="00D94EEA">
        <w:rPr>
          <w:rFonts w:ascii="Arial" w:hAnsi="Arial" w:cs="Arial"/>
          <w:b/>
          <w:sz w:val="24"/>
          <w:szCs w:val="24"/>
        </w:rPr>
        <w:lastRenderedPageBreak/>
        <w:t>Literature cited</w:t>
      </w:r>
    </w:p>
    <w:p w:rsidR="00D94EEA" w:rsidRDefault="00D94EEA">
      <w:pPr>
        <w:rPr>
          <w:rFonts w:ascii="Arial" w:hAnsi="Arial" w:cs="Arial"/>
          <w:sz w:val="24"/>
          <w:szCs w:val="24"/>
        </w:rPr>
      </w:pPr>
    </w:p>
    <w:p w:rsidR="00A73FDC" w:rsidRPr="00A73FDC" w:rsidRDefault="00A73FDC" w:rsidP="00A73FDC">
      <w:pPr>
        <w:pStyle w:val="Bibliografia"/>
        <w:rPr>
          <w:rFonts w:ascii="Arial" w:hAnsi="Arial" w:cs="Arial"/>
          <w:sz w:val="24"/>
        </w:rPr>
      </w:pPr>
      <w:r>
        <w:rPr>
          <w:rFonts w:ascii="Arial" w:hAnsi="Arial" w:cs="Arial"/>
        </w:rPr>
        <w:fldChar w:fldCharType="begin"/>
      </w:r>
      <w:r>
        <w:rPr>
          <w:rFonts w:ascii="Arial" w:hAnsi="Arial" w:cs="Arial"/>
        </w:rPr>
        <w:instrText xml:space="preserve"> ADDIN ZOTERO_BIBL {"uncited":[],"omitted":[],"custom":[]} CSL_BIBLIOGRAPHY </w:instrText>
      </w:r>
      <w:r>
        <w:rPr>
          <w:rFonts w:ascii="Arial" w:hAnsi="Arial" w:cs="Arial"/>
        </w:rPr>
        <w:fldChar w:fldCharType="separate"/>
      </w:r>
      <w:r w:rsidRPr="00A73FDC">
        <w:rPr>
          <w:rFonts w:ascii="Arial" w:hAnsi="Arial" w:cs="Arial"/>
          <w:sz w:val="24"/>
        </w:rPr>
        <w:t xml:space="preserve">Gillum, A. M., E. Y. Tsay, and D. R. Kirsch, 1984 Isolation of the </w:t>
      </w:r>
      <w:r w:rsidRPr="00A73FDC">
        <w:rPr>
          <w:rFonts w:ascii="Arial" w:hAnsi="Arial" w:cs="Arial"/>
          <w:i/>
          <w:sz w:val="24"/>
        </w:rPr>
        <w:t>Candida albicans</w:t>
      </w:r>
      <w:r w:rsidRPr="00A73FDC">
        <w:rPr>
          <w:rFonts w:ascii="Arial" w:hAnsi="Arial" w:cs="Arial"/>
          <w:sz w:val="24"/>
        </w:rPr>
        <w:t xml:space="preserve"> gene for orotidine-5’-phosphate decarboxylase by complementation of </w:t>
      </w:r>
      <w:r w:rsidRPr="00A73FDC">
        <w:rPr>
          <w:rFonts w:ascii="Arial" w:hAnsi="Arial" w:cs="Arial"/>
          <w:i/>
          <w:sz w:val="24"/>
        </w:rPr>
        <w:t>S. cerevisiae</w:t>
      </w:r>
      <w:r w:rsidRPr="00A73FDC">
        <w:rPr>
          <w:rFonts w:ascii="Arial" w:hAnsi="Arial" w:cs="Arial"/>
          <w:sz w:val="24"/>
        </w:rPr>
        <w:t xml:space="preserve"> ura3 and E. coli pyrF mutations. Mol.</w:t>
      </w:r>
      <w:r>
        <w:rPr>
          <w:rFonts w:ascii="Arial" w:hAnsi="Arial" w:cs="Arial"/>
          <w:sz w:val="24"/>
        </w:rPr>
        <w:t xml:space="preserve"> </w:t>
      </w:r>
      <w:r w:rsidRPr="00A73FDC">
        <w:rPr>
          <w:rFonts w:ascii="Arial" w:hAnsi="Arial" w:cs="Arial"/>
          <w:sz w:val="24"/>
        </w:rPr>
        <w:t>Gen.</w:t>
      </w:r>
      <w:r>
        <w:rPr>
          <w:rFonts w:ascii="Arial" w:hAnsi="Arial" w:cs="Arial"/>
          <w:sz w:val="24"/>
        </w:rPr>
        <w:t xml:space="preserve"> </w:t>
      </w:r>
      <w:r w:rsidRPr="00A73FDC">
        <w:rPr>
          <w:rFonts w:ascii="Arial" w:hAnsi="Arial" w:cs="Arial"/>
          <w:sz w:val="24"/>
        </w:rPr>
        <w:t>Genet. 198: 179–182.</w:t>
      </w:r>
    </w:p>
    <w:p w:rsidR="00A73FDC" w:rsidRPr="00A73FDC" w:rsidRDefault="00A73FDC" w:rsidP="00A73FDC">
      <w:pPr>
        <w:pStyle w:val="Bibliografia"/>
        <w:rPr>
          <w:rFonts w:ascii="Arial" w:hAnsi="Arial" w:cs="Arial"/>
          <w:sz w:val="24"/>
        </w:rPr>
      </w:pPr>
      <w:r w:rsidRPr="00A73FDC">
        <w:rPr>
          <w:rFonts w:ascii="Arial" w:hAnsi="Arial" w:cs="Arial"/>
          <w:sz w:val="24"/>
        </w:rPr>
        <w:t xml:space="preserve">Panwar, S. L., M. Legrand, D. Dignard, M. Whiteway, and P. T. Magee, 2003 MFalpha1, the gene encoding the alpha mating pheromone of </w:t>
      </w:r>
      <w:r w:rsidRPr="00A73FDC">
        <w:rPr>
          <w:rFonts w:ascii="Arial" w:hAnsi="Arial" w:cs="Arial"/>
          <w:i/>
          <w:sz w:val="24"/>
        </w:rPr>
        <w:t>Candida albicans</w:t>
      </w:r>
      <w:r>
        <w:rPr>
          <w:rFonts w:ascii="Arial" w:hAnsi="Arial" w:cs="Arial"/>
          <w:sz w:val="24"/>
        </w:rPr>
        <w:t>. Eukaryot.</w:t>
      </w:r>
      <w:r w:rsidRPr="00A73FDC">
        <w:rPr>
          <w:rFonts w:ascii="Arial" w:hAnsi="Arial" w:cs="Arial"/>
          <w:sz w:val="24"/>
        </w:rPr>
        <w:t xml:space="preserve"> Cell 2: 1350–1360.</w:t>
      </w:r>
    </w:p>
    <w:p w:rsidR="00A73FDC" w:rsidRPr="00A73FDC" w:rsidRDefault="00A73FDC" w:rsidP="00A73FDC">
      <w:pPr>
        <w:pStyle w:val="Bibliografia"/>
        <w:rPr>
          <w:rFonts w:ascii="Arial" w:hAnsi="Arial" w:cs="Arial"/>
          <w:sz w:val="24"/>
        </w:rPr>
      </w:pPr>
      <w:r w:rsidRPr="00A73FDC">
        <w:rPr>
          <w:rFonts w:ascii="Arial" w:hAnsi="Arial" w:cs="Arial"/>
          <w:sz w:val="24"/>
        </w:rPr>
        <w:t xml:space="preserve">Rastghalam, G., R. P. Omran, M. Alizadeh, D. Fulton, J. Mallick </w:t>
      </w:r>
      <w:r w:rsidRPr="00A73FDC">
        <w:rPr>
          <w:rFonts w:ascii="Arial" w:hAnsi="Arial" w:cs="Arial"/>
          <w:i/>
          <w:iCs/>
          <w:sz w:val="24"/>
        </w:rPr>
        <w:t>et al.</w:t>
      </w:r>
      <w:r w:rsidRPr="00A73FDC">
        <w:rPr>
          <w:rFonts w:ascii="Arial" w:hAnsi="Arial" w:cs="Arial"/>
          <w:sz w:val="24"/>
        </w:rPr>
        <w:t xml:space="preserve">, 2019 MAP Kinase Regulation of the </w:t>
      </w:r>
      <w:r w:rsidRPr="00A73FDC">
        <w:rPr>
          <w:rFonts w:ascii="Arial" w:hAnsi="Arial" w:cs="Arial"/>
          <w:i/>
          <w:sz w:val="24"/>
        </w:rPr>
        <w:t>Candida albicans</w:t>
      </w:r>
      <w:r w:rsidRPr="00A73FDC">
        <w:rPr>
          <w:rFonts w:ascii="Arial" w:hAnsi="Arial" w:cs="Arial"/>
          <w:sz w:val="24"/>
        </w:rPr>
        <w:t xml:space="preserve"> Pheromone Pathway. mSphere 4:</w:t>
      </w:r>
      <w:r>
        <w:rPr>
          <w:rFonts w:ascii="Arial" w:hAnsi="Arial" w:cs="Arial"/>
          <w:sz w:val="24"/>
        </w:rPr>
        <w:t xml:space="preserve"> e00598-18</w:t>
      </w:r>
      <w:r w:rsidRPr="00A73FDC">
        <w:rPr>
          <w:rFonts w:ascii="Arial" w:hAnsi="Arial" w:cs="Arial"/>
          <w:sz w:val="24"/>
        </w:rPr>
        <w:t>.</w:t>
      </w:r>
    </w:p>
    <w:p w:rsidR="00D94EEA" w:rsidRPr="00D94EEA" w:rsidRDefault="00A73FDC">
      <w:pPr>
        <w:rPr>
          <w:rFonts w:ascii="Arial" w:hAnsi="Arial" w:cs="Arial"/>
          <w:sz w:val="24"/>
          <w:szCs w:val="24"/>
        </w:rPr>
      </w:pPr>
      <w:r>
        <w:rPr>
          <w:rFonts w:ascii="Arial" w:hAnsi="Arial" w:cs="Arial"/>
          <w:sz w:val="24"/>
          <w:szCs w:val="24"/>
        </w:rPr>
        <w:fldChar w:fldCharType="end"/>
      </w:r>
    </w:p>
    <w:sectPr w:rsidR="00D94EEA" w:rsidRPr="00D94EEA" w:rsidSect="001A6085">
      <w:head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510" w:rsidRDefault="00063510" w:rsidP="001A6085">
      <w:pPr>
        <w:spacing w:after="0" w:line="240" w:lineRule="auto"/>
      </w:pPr>
      <w:r>
        <w:separator/>
      </w:r>
    </w:p>
  </w:endnote>
  <w:endnote w:type="continuationSeparator" w:id="0">
    <w:p w:rsidR="00063510" w:rsidRDefault="00063510" w:rsidP="001A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510" w:rsidRDefault="00063510" w:rsidP="001A6085">
      <w:pPr>
        <w:spacing w:after="0" w:line="240" w:lineRule="auto"/>
      </w:pPr>
      <w:r>
        <w:separator/>
      </w:r>
    </w:p>
  </w:footnote>
  <w:footnote w:type="continuationSeparator" w:id="0">
    <w:p w:rsidR="00063510" w:rsidRDefault="00063510" w:rsidP="001A6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430341"/>
      <w:docPartObj>
        <w:docPartGallery w:val="Page Numbers (Top of Page)"/>
        <w:docPartUnique/>
      </w:docPartObj>
    </w:sdtPr>
    <w:sdtEndPr/>
    <w:sdtContent>
      <w:p w:rsidR="001A6085" w:rsidRDefault="001A6085">
        <w:pPr>
          <w:pStyle w:val="Cabealho"/>
          <w:jc w:val="right"/>
        </w:pPr>
        <w:r>
          <w:fldChar w:fldCharType="begin"/>
        </w:r>
        <w:r>
          <w:instrText>PAGE   \* MERGEFORMAT</w:instrText>
        </w:r>
        <w:r>
          <w:fldChar w:fldCharType="separate"/>
        </w:r>
        <w:r w:rsidR="00ED27CA" w:rsidRPr="00ED27CA">
          <w:rPr>
            <w:noProof/>
            <w:lang w:val="pt-BR"/>
          </w:rPr>
          <w:t>1</w:t>
        </w:r>
        <w:r>
          <w:fldChar w:fldCharType="end"/>
        </w:r>
      </w:p>
    </w:sdtContent>
  </w:sdt>
  <w:p w:rsidR="001A6085" w:rsidRDefault="001A608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85"/>
    <w:rsid w:val="0000196D"/>
    <w:rsid w:val="00001B8F"/>
    <w:rsid w:val="000030F9"/>
    <w:rsid w:val="00003F8F"/>
    <w:rsid w:val="00005C4F"/>
    <w:rsid w:val="00005EB9"/>
    <w:rsid w:val="00007742"/>
    <w:rsid w:val="000102AB"/>
    <w:rsid w:val="0001476A"/>
    <w:rsid w:val="000159D0"/>
    <w:rsid w:val="00015FBB"/>
    <w:rsid w:val="00016440"/>
    <w:rsid w:val="000178CD"/>
    <w:rsid w:val="00021503"/>
    <w:rsid w:val="00021EE4"/>
    <w:rsid w:val="00022F8F"/>
    <w:rsid w:val="000237F9"/>
    <w:rsid w:val="00023BAB"/>
    <w:rsid w:val="00024CB0"/>
    <w:rsid w:val="00024F12"/>
    <w:rsid w:val="000258DE"/>
    <w:rsid w:val="00025D20"/>
    <w:rsid w:val="0002774C"/>
    <w:rsid w:val="0003073A"/>
    <w:rsid w:val="00034888"/>
    <w:rsid w:val="00034C47"/>
    <w:rsid w:val="00034C52"/>
    <w:rsid w:val="00051A3C"/>
    <w:rsid w:val="000539D6"/>
    <w:rsid w:val="0005411A"/>
    <w:rsid w:val="00054BC3"/>
    <w:rsid w:val="00055352"/>
    <w:rsid w:val="0006097F"/>
    <w:rsid w:val="00062293"/>
    <w:rsid w:val="00063395"/>
    <w:rsid w:val="00063510"/>
    <w:rsid w:val="00066AFC"/>
    <w:rsid w:val="00066CF7"/>
    <w:rsid w:val="00066DF1"/>
    <w:rsid w:val="00072364"/>
    <w:rsid w:val="00072405"/>
    <w:rsid w:val="0007245E"/>
    <w:rsid w:val="000727A7"/>
    <w:rsid w:val="00072972"/>
    <w:rsid w:val="00074028"/>
    <w:rsid w:val="000775B6"/>
    <w:rsid w:val="00077CF1"/>
    <w:rsid w:val="00081553"/>
    <w:rsid w:val="00081D61"/>
    <w:rsid w:val="000843C8"/>
    <w:rsid w:val="0008574E"/>
    <w:rsid w:val="00090D3E"/>
    <w:rsid w:val="00093396"/>
    <w:rsid w:val="00093A54"/>
    <w:rsid w:val="000975F3"/>
    <w:rsid w:val="00097788"/>
    <w:rsid w:val="000A0495"/>
    <w:rsid w:val="000A18E0"/>
    <w:rsid w:val="000A30B6"/>
    <w:rsid w:val="000A3AB1"/>
    <w:rsid w:val="000A4628"/>
    <w:rsid w:val="000A5568"/>
    <w:rsid w:val="000A6669"/>
    <w:rsid w:val="000B506A"/>
    <w:rsid w:val="000B53FF"/>
    <w:rsid w:val="000B60DC"/>
    <w:rsid w:val="000B789B"/>
    <w:rsid w:val="000B7FDD"/>
    <w:rsid w:val="000C05E5"/>
    <w:rsid w:val="000C2782"/>
    <w:rsid w:val="000C558B"/>
    <w:rsid w:val="000C64FE"/>
    <w:rsid w:val="000C775F"/>
    <w:rsid w:val="000D0F51"/>
    <w:rsid w:val="000D1E80"/>
    <w:rsid w:val="000D3E8B"/>
    <w:rsid w:val="000D51F4"/>
    <w:rsid w:val="000E2CC3"/>
    <w:rsid w:val="000E455D"/>
    <w:rsid w:val="000E4D63"/>
    <w:rsid w:val="000E634C"/>
    <w:rsid w:val="000F03CD"/>
    <w:rsid w:val="000F1219"/>
    <w:rsid w:val="000F138C"/>
    <w:rsid w:val="000F4DF0"/>
    <w:rsid w:val="001000DB"/>
    <w:rsid w:val="00100B08"/>
    <w:rsid w:val="00100C15"/>
    <w:rsid w:val="00100D52"/>
    <w:rsid w:val="00101616"/>
    <w:rsid w:val="00103194"/>
    <w:rsid w:val="00105CD7"/>
    <w:rsid w:val="00106A15"/>
    <w:rsid w:val="00110509"/>
    <w:rsid w:val="00110696"/>
    <w:rsid w:val="00111390"/>
    <w:rsid w:val="00112243"/>
    <w:rsid w:val="001142C6"/>
    <w:rsid w:val="001142F2"/>
    <w:rsid w:val="00114617"/>
    <w:rsid w:val="00120258"/>
    <w:rsid w:val="0012115A"/>
    <w:rsid w:val="00121817"/>
    <w:rsid w:val="00126B8B"/>
    <w:rsid w:val="00127339"/>
    <w:rsid w:val="001302BE"/>
    <w:rsid w:val="001339C8"/>
    <w:rsid w:val="001344E3"/>
    <w:rsid w:val="00136A8D"/>
    <w:rsid w:val="00142ED3"/>
    <w:rsid w:val="00144A32"/>
    <w:rsid w:val="0014720B"/>
    <w:rsid w:val="00147F0D"/>
    <w:rsid w:val="00147F2D"/>
    <w:rsid w:val="00151630"/>
    <w:rsid w:val="001518D3"/>
    <w:rsid w:val="00153433"/>
    <w:rsid w:val="00153948"/>
    <w:rsid w:val="001545D9"/>
    <w:rsid w:val="001555C0"/>
    <w:rsid w:val="001557D5"/>
    <w:rsid w:val="001562D6"/>
    <w:rsid w:val="001564A1"/>
    <w:rsid w:val="001602F9"/>
    <w:rsid w:val="00164F8B"/>
    <w:rsid w:val="0017277E"/>
    <w:rsid w:val="0017748F"/>
    <w:rsid w:val="0018393D"/>
    <w:rsid w:val="00183B56"/>
    <w:rsid w:val="00185F2B"/>
    <w:rsid w:val="00195520"/>
    <w:rsid w:val="0019663D"/>
    <w:rsid w:val="001A0AB9"/>
    <w:rsid w:val="001A303D"/>
    <w:rsid w:val="001A6085"/>
    <w:rsid w:val="001A635B"/>
    <w:rsid w:val="001B02DD"/>
    <w:rsid w:val="001B1D65"/>
    <w:rsid w:val="001B6FA2"/>
    <w:rsid w:val="001B777C"/>
    <w:rsid w:val="001C0FEF"/>
    <w:rsid w:val="001C29CB"/>
    <w:rsid w:val="001C2CA5"/>
    <w:rsid w:val="001C513F"/>
    <w:rsid w:val="001C53CA"/>
    <w:rsid w:val="001C6241"/>
    <w:rsid w:val="001C6C18"/>
    <w:rsid w:val="001D0B0B"/>
    <w:rsid w:val="001D21CE"/>
    <w:rsid w:val="001D4E1C"/>
    <w:rsid w:val="001D59AE"/>
    <w:rsid w:val="001D646D"/>
    <w:rsid w:val="001D7551"/>
    <w:rsid w:val="001E0093"/>
    <w:rsid w:val="001E0888"/>
    <w:rsid w:val="001E1570"/>
    <w:rsid w:val="001E19BB"/>
    <w:rsid w:val="001E42D2"/>
    <w:rsid w:val="001E5A7D"/>
    <w:rsid w:val="001E5B4E"/>
    <w:rsid w:val="001E5F7B"/>
    <w:rsid w:val="001E6CC9"/>
    <w:rsid w:val="001F1C1A"/>
    <w:rsid w:val="001F458A"/>
    <w:rsid w:val="001F4A5A"/>
    <w:rsid w:val="001F59CA"/>
    <w:rsid w:val="001F5A43"/>
    <w:rsid w:val="001F6D5F"/>
    <w:rsid w:val="001F72C5"/>
    <w:rsid w:val="00201A13"/>
    <w:rsid w:val="00207FD5"/>
    <w:rsid w:val="0021057A"/>
    <w:rsid w:val="00212225"/>
    <w:rsid w:val="00212A45"/>
    <w:rsid w:val="00214F96"/>
    <w:rsid w:val="00215CBA"/>
    <w:rsid w:val="0021727E"/>
    <w:rsid w:val="002204B1"/>
    <w:rsid w:val="0022109D"/>
    <w:rsid w:val="00221359"/>
    <w:rsid w:val="00221709"/>
    <w:rsid w:val="00226A47"/>
    <w:rsid w:val="002275DB"/>
    <w:rsid w:val="0022763A"/>
    <w:rsid w:val="00230E7A"/>
    <w:rsid w:val="00234A08"/>
    <w:rsid w:val="00235B05"/>
    <w:rsid w:val="002363A9"/>
    <w:rsid w:val="0024140F"/>
    <w:rsid w:val="00242438"/>
    <w:rsid w:val="002429EC"/>
    <w:rsid w:val="00246AD9"/>
    <w:rsid w:val="00246C5A"/>
    <w:rsid w:val="002506FB"/>
    <w:rsid w:val="002551A0"/>
    <w:rsid w:val="00255389"/>
    <w:rsid w:val="00255D48"/>
    <w:rsid w:val="00256D62"/>
    <w:rsid w:val="00257EE8"/>
    <w:rsid w:val="00260613"/>
    <w:rsid w:val="002611B9"/>
    <w:rsid w:val="00265A1B"/>
    <w:rsid w:val="0026737D"/>
    <w:rsid w:val="00270225"/>
    <w:rsid w:val="00270F68"/>
    <w:rsid w:val="002732AC"/>
    <w:rsid w:val="00275FD4"/>
    <w:rsid w:val="002760F9"/>
    <w:rsid w:val="00276F84"/>
    <w:rsid w:val="002855EF"/>
    <w:rsid w:val="00285E47"/>
    <w:rsid w:val="00290270"/>
    <w:rsid w:val="002904CF"/>
    <w:rsid w:val="00291A16"/>
    <w:rsid w:val="00293ABE"/>
    <w:rsid w:val="0029683F"/>
    <w:rsid w:val="002A0633"/>
    <w:rsid w:val="002A19E5"/>
    <w:rsid w:val="002A1A3F"/>
    <w:rsid w:val="002A338A"/>
    <w:rsid w:val="002A4533"/>
    <w:rsid w:val="002A4E47"/>
    <w:rsid w:val="002A4E56"/>
    <w:rsid w:val="002A5BDF"/>
    <w:rsid w:val="002A5BF9"/>
    <w:rsid w:val="002B1F22"/>
    <w:rsid w:val="002B3C62"/>
    <w:rsid w:val="002B555F"/>
    <w:rsid w:val="002B626B"/>
    <w:rsid w:val="002B6E81"/>
    <w:rsid w:val="002C0929"/>
    <w:rsid w:val="002C11F2"/>
    <w:rsid w:val="002C1846"/>
    <w:rsid w:val="002C366B"/>
    <w:rsid w:val="002C4DFC"/>
    <w:rsid w:val="002D013B"/>
    <w:rsid w:val="002D202C"/>
    <w:rsid w:val="002D276A"/>
    <w:rsid w:val="002D35B6"/>
    <w:rsid w:val="002E050A"/>
    <w:rsid w:val="002E1575"/>
    <w:rsid w:val="002E1AC2"/>
    <w:rsid w:val="002E242E"/>
    <w:rsid w:val="002E3887"/>
    <w:rsid w:val="002E4658"/>
    <w:rsid w:val="002E6021"/>
    <w:rsid w:val="002E6178"/>
    <w:rsid w:val="002E6C05"/>
    <w:rsid w:val="002E7816"/>
    <w:rsid w:val="002F04B9"/>
    <w:rsid w:val="002F1370"/>
    <w:rsid w:val="002F2607"/>
    <w:rsid w:val="002F4144"/>
    <w:rsid w:val="002F42DC"/>
    <w:rsid w:val="002F505E"/>
    <w:rsid w:val="002F5A4C"/>
    <w:rsid w:val="002F7532"/>
    <w:rsid w:val="00300D54"/>
    <w:rsid w:val="003016CB"/>
    <w:rsid w:val="0030272E"/>
    <w:rsid w:val="00315C49"/>
    <w:rsid w:val="003207A3"/>
    <w:rsid w:val="00322823"/>
    <w:rsid w:val="00325074"/>
    <w:rsid w:val="003268ED"/>
    <w:rsid w:val="003277F1"/>
    <w:rsid w:val="00327B8B"/>
    <w:rsid w:val="00327EA7"/>
    <w:rsid w:val="00330FC6"/>
    <w:rsid w:val="00333373"/>
    <w:rsid w:val="003367EC"/>
    <w:rsid w:val="00337955"/>
    <w:rsid w:val="00340FA1"/>
    <w:rsid w:val="00343015"/>
    <w:rsid w:val="003451E6"/>
    <w:rsid w:val="003459DB"/>
    <w:rsid w:val="00346EF7"/>
    <w:rsid w:val="003505F1"/>
    <w:rsid w:val="003516E0"/>
    <w:rsid w:val="00355D86"/>
    <w:rsid w:val="00356A70"/>
    <w:rsid w:val="00357EBA"/>
    <w:rsid w:val="00363354"/>
    <w:rsid w:val="003635B6"/>
    <w:rsid w:val="00363783"/>
    <w:rsid w:val="00366271"/>
    <w:rsid w:val="0037024D"/>
    <w:rsid w:val="00370DD1"/>
    <w:rsid w:val="003730A3"/>
    <w:rsid w:val="003746DA"/>
    <w:rsid w:val="00376CB5"/>
    <w:rsid w:val="00377AF5"/>
    <w:rsid w:val="0038331A"/>
    <w:rsid w:val="00386741"/>
    <w:rsid w:val="00386818"/>
    <w:rsid w:val="003874D6"/>
    <w:rsid w:val="00394D6F"/>
    <w:rsid w:val="00395363"/>
    <w:rsid w:val="00395944"/>
    <w:rsid w:val="00397059"/>
    <w:rsid w:val="003A021F"/>
    <w:rsid w:val="003A0A95"/>
    <w:rsid w:val="003A216B"/>
    <w:rsid w:val="003A2651"/>
    <w:rsid w:val="003A34DE"/>
    <w:rsid w:val="003A35FB"/>
    <w:rsid w:val="003A638E"/>
    <w:rsid w:val="003A7FEB"/>
    <w:rsid w:val="003B0650"/>
    <w:rsid w:val="003B0667"/>
    <w:rsid w:val="003B06E5"/>
    <w:rsid w:val="003B0AFC"/>
    <w:rsid w:val="003B2035"/>
    <w:rsid w:val="003B3D90"/>
    <w:rsid w:val="003B3FF9"/>
    <w:rsid w:val="003B4EBB"/>
    <w:rsid w:val="003B549B"/>
    <w:rsid w:val="003B6609"/>
    <w:rsid w:val="003C00C1"/>
    <w:rsid w:val="003C03EF"/>
    <w:rsid w:val="003C1E18"/>
    <w:rsid w:val="003C24FF"/>
    <w:rsid w:val="003C2856"/>
    <w:rsid w:val="003D104D"/>
    <w:rsid w:val="003D1347"/>
    <w:rsid w:val="003D2773"/>
    <w:rsid w:val="003D53BF"/>
    <w:rsid w:val="003D57F1"/>
    <w:rsid w:val="003D7915"/>
    <w:rsid w:val="003E201F"/>
    <w:rsid w:val="003E2672"/>
    <w:rsid w:val="003E46D9"/>
    <w:rsid w:val="003E4CFD"/>
    <w:rsid w:val="003E648C"/>
    <w:rsid w:val="003E6E3A"/>
    <w:rsid w:val="003E7716"/>
    <w:rsid w:val="003F2D6B"/>
    <w:rsid w:val="003F41B6"/>
    <w:rsid w:val="003F5515"/>
    <w:rsid w:val="003F5BDB"/>
    <w:rsid w:val="003F6A30"/>
    <w:rsid w:val="003F771C"/>
    <w:rsid w:val="003F7D5F"/>
    <w:rsid w:val="00402029"/>
    <w:rsid w:val="00402411"/>
    <w:rsid w:val="004040E9"/>
    <w:rsid w:val="0040492C"/>
    <w:rsid w:val="00406293"/>
    <w:rsid w:val="00407CEE"/>
    <w:rsid w:val="00407E7F"/>
    <w:rsid w:val="0041071F"/>
    <w:rsid w:val="00411B9F"/>
    <w:rsid w:val="0041270A"/>
    <w:rsid w:val="00413C8D"/>
    <w:rsid w:val="00415940"/>
    <w:rsid w:val="00417459"/>
    <w:rsid w:val="00417721"/>
    <w:rsid w:val="00420CD6"/>
    <w:rsid w:val="0042395E"/>
    <w:rsid w:val="00423AF5"/>
    <w:rsid w:val="0042511D"/>
    <w:rsid w:val="00433064"/>
    <w:rsid w:val="00436FDD"/>
    <w:rsid w:val="00437CCA"/>
    <w:rsid w:val="00442E06"/>
    <w:rsid w:val="004454FB"/>
    <w:rsid w:val="00446A22"/>
    <w:rsid w:val="00447CA4"/>
    <w:rsid w:val="0045300A"/>
    <w:rsid w:val="00453E8D"/>
    <w:rsid w:val="0045484D"/>
    <w:rsid w:val="00454FCF"/>
    <w:rsid w:val="004555A9"/>
    <w:rsid w:val="00461B1F"/>
    <w:rsid w:val="00462D4A"/>
    <w:rsid w:val="00463578"/>
    <w:rsid w:val="004645A4"/>
    <w:rsid w:val="00465809"/>
    <w:rsid w:val="00465CBA"/>
    <w:rsid w:val="00467170"/>
    <w:rsid w:val="00470681"/>
    <w:rsid w:val="004727FE"/>
    <w:rsid w:val="004728D3"/>
    <w:rsid w:val="0047470A"/>
    <w:rsid w:val="00474E82"/>
    <w:rsid w:val="004765A7"/>
    <w:rsid w:val="0047776A"/>
    <w:rsid w:val="00477EB1"/>
    <w:rsid w:val="00480D56"/>
    <w:rsid w:val="0048112B"/>
    <w:rsid w:val="00481240"/>
    <w:rsid w:val="00482B7A"/>
    <w:rsid w:val="00482C77"/>
    <w:rsid w:val="004835C3"/>
    <w:rsid w:val="00485940"/>
    <w:rsid w:val="00487543"/>
    <w:rsid w:val="004879B2"/>
    <w:rsid w:val="00490ACD"/>
    <w:rsid w:val="00490FF4"/>
    <w:rsid w:val="0049235E"/>
    <w:rsid w:val="004924FA"/>
    <w:rsid w:val="00492819"/>
    <w:rsid w:val="00492B84"/>
    <w:rsid w:val="00493A95"/>
    <w:rsid w:val="0049534A"/>
    <w:rsid w:val="00497881"/>
    <w:rsid w:val="004A0564"/>
    <w:rsid w:val="004A59D8"/>
    <w:rsid w:val="004A67CF"/>
    <w:rsid w:val="004A73FB"/>
    <w:rsid w:val="004B042F"/>
    <w:rsid w:val="004B14C2"/>
    <w:rsid w:val="004B3E6E"/>
    <w:rsid w:val="004B5856"/>
    <w:rsid w:val="004C0E1B"/>
    <w:rsid w:val="004C12D2"/>
    <w:rsid w:val="004C1C59"/>
    <w:rsid w:val="004C1E78"/>
    <w:rsid w:val="004C3183"/>
    <w:rsid w:val="004C4B7B"/>
    <w:rsid w:val="004C4D84"/>
    <w:rsid w:val="004C4E58"/>
    <w:rsid w:val="004C520D"/>
    <w:rsid w:val="004C6CD4"/>
    <w:rsid w:val="004D0317"/>
    <w:rsid w:val="004D0674"/>
    <w:rsid w:val="004D0CFD"/>
    <w:rsid w:val="004D5220"/>
    <w:rsid w:val="004D5EB1"/>
    <w:rsid w:val="004D66E6"/>
    <w:rsid w:val="004D7773"/>
    <w:rsid w:val="004E232B"/>
    <w:rsid w:val="004E2A65"/>
    <w:rsid w:val="004E50E3"/>
    <w:rsid w:val="004E5C86"/>
    <w:rsid w:val="004F154B"/>
    <w:rsid w:val="004F3201"/>
    <w:rsid w:val="004F4F63"/>
    <w:rsid w:val="004F691F"/>
    <w:rsid w:val="005016E3"/>
    <w:rsid w:val="00501B6F"/>
    <w:rsid w:val="00501CCE"/>
    <w:rsid w:val="005023EC"/>
    <w:rsid w:val="00503866"/>
    <w:rsid w:val="00507014"/>
    <w:rsid w:val="00513641"/>
    <w:rsid w:val="005152F3"/>
    <w:rsid w:val="00515585"/>
    <w:rsid w:val="0051660C"/>
    <w:rsid w:val="00521E1F"/>
    <w:rsid w:val="005222A8"/>
    <w:rsid w:val="00522486"/>
    <w:rsid w:val="00525112"/>
    <w:rsid w:val="00525DF5"/>
    <w:rsid w:val="00526012"/>
    <w:rsid w:val="00526FBE"/>
    <w:rsid w:val="00527BB1"/>
    <w:rsid w:val="00527BEB"/>
    <w:rsid w:val="00530255"/>
    <w:rsid w:val="005302E6"/>
    <w:rsid w:val="00530EFA"/>
    <w:rsid w:val="0053149F"/>
    <w:rsid w:val="00531C86"/>
    <w:rsid w:val="005325DA"/>
    <w:rsid w:val="00533909"/>
    <w:rsid w:val="00535D01"/>
    <w:rsid w:val="00536419"/>
    <w:rsid w:val="00536DC9"/>
    <w:rsid w:val="0054085D"/>
    <w:rsid w:val="005409E1"/>
    <w:rsid w:val="00542A4C"/>
    <w:rsid w:val="00546950"/>
    <w:rsid w:val="00550ECB"/>
    <w:rsid w:val="00550F20"/>
    <w:rsid w:val="00550F46"/>
    <w:rsid w:val="00552462"/>
    <w:rsid w:val="00552700"/>
    <w:rsid w:val="00552DE2"/>
    <w:rsid w:val="00553BF7"/>
    <w:rsid w:val="00553FE7"/>
    <w:rsid w:val="0055501B"/>
    <w:rsid w:val="005563F5"/>
    <w:rsid w:val="00556916"/>
    <w:rsid w:val="00557780"/>
    <w:rsid w:val="00562F55"/>
    <w:rsid w:val="005647B7"/>
    <w:rsid w:val="00565E6C"/>
    <w:rsid w:val="00567890"/>
    <w:rsid w:val="005706E3"/>
    <w:rsid w:val="005810DE"/>
    <w:rsid w:val="00583B60"/>
    <w:rsid w:val="005929B4"/>
    <w:rsid w:val="00592AD5"/>
    <w:rsid w:val="00593ABA"/>
    <w:rsid w:val="00597712"/>
    <w:rsid w:val="005A1FEB"/>
    <w:rsid w:val="005A2648"/>
    <w:rsid w:val="005A326A"/>
    <w:rsid w:val="005A45C2"/>
    <w:rsid w:val="005B216C"/>
    <w:rsid w:val="005B29D1"/>
    <w:rsid w:val="005B46CD"/>
    <w:rsid w:val="005B4B0E"/>
    <w:rsid w:val="005B4E2F"/>
    <w:rsid w:val="005B5623"/>
    <w:rsid w:val="005B58FD"/>
    <w:rsid w:val="005B65D9"/>
    <w:rsid w:val="005B6622"/>
    <w:rsid w:val="005B67B3"/>
    <w:rsid w:val="005B6C34"/>
    <w:rsid w:val="005B76A5"/>
    <w:rsid w:val="005C1548"/>
    <w:rsid w:val="005C15B5"/>
    <w:rsid w:val="005C15CC"/>
    <w:rsid w:val="005C30F2"/>
    <w:rsid w:val="005C6892"/>
    <w:rsid w:val="005C7D6B"/>
    <w:rsid w:val="005D1D3E"/>
    <w:rsid w:val="005D2512"/>
    <w:rsid w:val="005D25EB"/>
    <w:rsid w:val="005D375C"/>
    <w:rsid w:val="005D3B89"/>
    <w:rsid w:val="005D4329"/>
    <w:rsid w:val="005D4898"/>
    <w:rsid w:val="005E56E1"/>
    <w:rsid w:val="005F1C3B"/>
    <w:rsid w:val="005F3307"/>
    <w:rsid w:val="005F375D"/>
    <w:rsid w:val="005F5C25"/>
    <w:rsid w:val="005F7BEB"/>
    <w:rsid w:val="005F7C6A"/>
    <w:rsid w:val="00600453"/>
    <w:rsid w:val="00601350"/>
    <w:rsid w:val="006024B4"/>
    <w:rsid w:val="00602A79"/>
    <w:rsid w:val="00602A8C"/>
    <w:rsid w:val="0060387C"/>
    <w:rsid w:val="00604512"/>
    <w:rsid w:val="00604DD5"/>
    <w:rsid w:val="006060F5"/>
    <w:rsid w:val="00607E0A"/>
    <w:rsid w:val="00611262"/>
    <w:rsid w:val="006128B9"/>
    <w:rsid w:val="00614FF3"/>
    <w:rsid w:val="00615266"/>
    <w:rsid w:val="006159F8"/>
    <w:rsid w:val="00617553"/>
    <w:rsid w:val="00621729"/>
    <w:rsid w:val="006245E1"/>
    <w:rsid w:val="00624879"/>
    <w:rsid w:val="0062743D"/>
    <w:rsid w:val="00632F7A"/>
    <w:rsid w:val="006359A1"/>
    <w:rsid w:val="0063673C"/>
    <w:rsid w:val="00636F34"/>
    <w:rsid w:val="006378CE"/>
    <w:rsid w:val="006405C5"/>
    <w:rsid w:val="00640E7D"/>
    <w:rsid w:val="00640FB9"/>
    <w:rsid w:val="00641216"/>
    <w:rsid w:val="00641949"/>
    <w:rsid w:val="0064274A"/>
    <w:rsid w:val="00643EAF"/>
    <w:rsid w:val="0064581D"/>
    <w:rsid w:val="00647568"/>
    <w:rsid w:val="006527F9"/>
    <w:rsid w:val="00663813"/>
    <w:rsid w:val="00670A2F"/>
    <w:rsid w:val="0067112F"/>
    <w:rsid w:val="00672AB2"/>
    <w:rsid w:val="00672BDC"/>
    <w:rsid w:val="00675551"/>
    <w:rsid w:val="0067741A"/>
    <w:rsid w:val="00682C65"/>
    <w:rsid w:val="00683DA0"/>
    <w:rsid w:val="00683E2B"/>
    <w:rsid w:val="0069014A"/>
    <w:rsid w:val="0069150C"/>
    <w:rsid w:val="006941E7"/>
    <w:rsid w:val="006948FA"/>
    <w:rsid w:val="00697889"/>
    <w:rsid w:val="006A0074"/>
    <w:rsid w:val="006A1001"/>
    <w:rsid w:val="006A3621"/>
    <w:rsid w:val="006A3F9A"/>
    <w:rsid w:val="006A3FDB"/>
    <w:rsid w:val="006A555F"/>
    <w:rsid w:val="006A70CF"/>
    <w:rsid w:val="006A7F86"/>
    <w:rsid w:val="006B223A"/>
    <w:rsid w:val="006B402B"/>
    <w:rsid w:val="006B4E09"/>
    <w:rsid w:val="006B5721"/>
    <w:rsid w:val="006C10A7"/>
    <w:rsid w:val="006C3519"/>
    <w:rsid w:val="006C5942"/>
    <w:rsid w:val="006C6595"/>
    <w:rsid w:val="006C6622"/>
    <w:rsid w:val="006C6AB0"/>
    <w:rsid w:val="006D1192"/>
    <w:rsid w:val="006D24AD"/>
    <w:rsid w:val="006D2DFC"/>
    <w:rsid w:val="006D42F4"/>
    <w:rsid w:val="006D46B8"/>
    <w:rsid w:val="006D71EE"/>
    <w:rsid w:val="006E0533"/>
    <w:rsid w:val="006E0F0E"/>
    <w:rsid w:val="006E1BAE"/>
    <w:rsid w:val="006E417F"/>
    <w:rsid w:val="006E421F"/>
    <w:rsid w:val="006E4B51"/>
    <w:rsid w:val="006E517C"/>
    <w:rsid w:val="006F2548"/>
    <w:rsid w:val="006F3BD7"/>
    <w:rsid w:val="006F3C06"/>
    <w:rsid w:val="006F4B02"/>
    <w:rsid w:val="006F4EE6"/>
    <w:rsid w:val="006F535D"/>
    <w:rsid w:val="006F61F5"/>
    <w:rsid w:val="006F6D56"/>
    <w:rsid w:val="006F6E15"/>
    <w:rsid w:val="00700676"/>
    <w:rsid w:val="00703DCD"/>
    <w:rsid w:val="007048E6"/>
    <w:rsid w:val="00705008"/>
    <w:rsid w:val="0070524C"/>
    <w:rsid w:val="0070784A"/>
    <w:rsid w:val="00712EEB"/>
    <w:rsid w:val="007132A2"/>
    <w:rsid w:val="00713B36"/>
    <w:rsid w:val="007147DF"/>
    <w:rsid w:val="00714E3C"/>
    <w:rsid w:val="00721EEB"/>
    <w:rsid w:val="00723BF5"/>
    <w:rsid w:val="007259F2"/>
    <w:rsid w:val="0072698B"/>
    <w:rsid w:val="00731177"/>
    <w:rsid w:val="00732E12"/>
    <w:rsid w:val="00733A68"/>
    <w:rsid w:val="00733DB0"/>
    <w:rsid w:val="007341C1"/>
    <w:rsid w:val="0073514D"/>
    <w:rsid w:val="00737419"/>
    <w:rsid w:val="00737F00"/>
    <w:rsid w:val="0074292F"/>
    <w:rsid w:val="007448BE"/>
    <w:rsid w:val="0074551D"/>
    <w:rsid w:val="00746FF7"/>
    <w:rsid w:val="00747C26"/>
    <w:rsid w:val="00750CA7"/>
    <w:rsid w:val="00751139"/>
    <w:rsid w:val="00752120"/>
    <w:rsid w:val="007532A4"/>
    <w:rsid w:val="00754646"/>
    <w:rsid w:val="00754A91"/>
    <w:rsid w:val="00756145"/>
    <w:rsid w:val="007569F6"/>
    <w:rsid w:val="00761A87"/>
    <w:rsid w:val="00761D22"/>
    <w:rsid w:val="007620FB"/>
    <w:rsid w:val="007634B0"/>
    <w:rsid w:val="007665BD"/>
    <w:rsid w:val="0076707A"/>
    <w:rsid w:val="00770577"/>
    <w:rsid w:val="0077087B"/>
    <w:rsid w:val="00770C0C"/>
    <w:rsid w:val="00770F9D"/>
    <w:rsid w:val="007743BD"/>
    <w:rsid w:val="007745E0"/>
    <w:rsid w:val="0077584D"/>
    <w:rsid w:val="00785A2F"/>
    <w:rsid w:val="00785D90"/>
    <w:rsid w:val="00785FB4"/>
    <w:rsid w:val="0079065B"/>
    <w:rsid w:val="00791BB5"/>
    <w:rsid w:val="00791C42"/>
    <w:rsid w:val="00792CF1"/>
    <w:rsid w:val="007A38F8"/>
    <w:rsid w:val="007A7D33"/>
    <w:rsid w:val="007B0FB7"/>
    <w:rsid w:val="007B2BB2"/>
    <w:rsid w:val="007B3B9C"/>
    <w:rsid w:val="007B4F05"/>
    <w:rsid w:val="007B7565"/>
    <w:rsid w:val="007B7D75"/>
    <w:rsid w:val="007C0848"/>
    <w:rsid w:val="007C32B5"/>
    <w:rsid w:val="007C398B"/>
    <w:rsid w:val="007C3A24"/>
    <w:rsid w:val="007C7AF7"/>
    <w:rsid w:val="007D026D"/>
    <w:rsid w:val="007D0BD9"/>
    <w:rsid w:val="007D1211"/>
    <w:rsid w:val="007D1DAB"/>
    <w:rsid w:val="007D2A1B"/>
    <w:rsid w:val="007D35BC"/>
    <w:rsid w:val="007D38F7"/>
    <w:rsid w:val="007D3FE3"/>
    <w:rsid w:val="007D52EA"/>
    <w:rsid w:val="007D7202"/>
    <w:rsid w:val="007E0BB0"/>
    <w:rsid w:val="007E1158"/>
    <w:rsid w:val="007E33FB"/>
    <w:rsid w:val="007E3FBE"/>
    <w:rsid w:val="007E4BBB"/>
    <w:rsid w:val="007E6B10"/>
    <w:rsid w:val="007F0575"/>
    <w:rsid w:val="007F352E"/>
    <w:rsid w:val="007F4AED"/>
    <w:rsid w:val="007F6888"/>
    <w:rsid w:val="008005AE"/>
    <w:rsid w:val="00801C54"/>
    <w:rsid w:val="0080754D"/>
    <w:rsid w:val="00807557"/>
    <w:rsid w:val="008108BF"/>
    <w:rsid w:val="008139BF"/>
    <w:rsid w:val="008164D1"/>
    <w:rsid w:val="00816F84"/>
    <w:rsid w:val="00817588"/>
    <w:rsid w:val="00822517"/>
    <w:rsid w:val="00822AF3"/>
    <w:rsid w:val="0082607A"/>
    <w:rsid w:val="00827DBF"/>
    <w:rsid w:val="00830510"/>
    <w:rsid w:val="00830D4F"/>
    <w:rsid w:val="00831E13"/>
    <w:rsid w:val="00836FE0"/>
    <w:rsid w:val="00837EF5"/>
    <w:rsid w:val="00841CE0"/>
    <w:rsid w:val="0084217D"/>
    <w:rsid w:val="008448B2"/>
    <w:rsid w:val="00847E6F"/>
    <w:rsid w:val="008500B6"/>
    <w:rsid w:val="00850238"/>
    <w:rsid w:val="00851549"/>
    <w:rsid w:val="00854F1E"/>
    <w:rsid w:val="00855171"/>
    <w:rsid w:val="008555EA"/>
    <w:rsid w:val="0085644C"/>
    <w:rsid w:val="00857EA4"/>
    <w:rsid w:val="0086159F"/>
    <w:rsid w:val="00863675"/>
    <w:rsid w:val="00864903"/>
    <w:rsid w:val="0086598E"/>
    <w:rsid w:val="00871C5C"/>
    <w:rsid w:val="008760CB"/>
    <w:rsid w:val="00877DC5"/>
    <w:rsid w:val="0088119F"/>
    <w:rsid w:val="00886E69"/>
    <w:rsid w:val="0089085A"/>
    <w:rsid w:val="00891404"/>
    <w:rsid w:val="00891912"/>
    <w:rsid w:val="00892E54"/>
    <w:rsid w:val="0089601C"/>
    <w:rsid w:val="008A052E"/>
    <w:rsid w:val="008A0C41"/>
    <w:rsid w:val="008A164D"/>
    <w:rsid w:val="008A506F"/>
    <w:rsid w:val="008A5852"/>
    <w:rsid w:val="008B04C1"/>
    <w:rsid w:val="008B1350"/>
    <w:rsid w:val="008B2605"/>
    <w:rsid w:val="008B698A"/>
    <w:rsid w:val="008B6C89"/>
    <w:rsid w:val="008B74A0"/>
    <w:rsid w:val="008C017B"/>
    <w:rsid w:val="008C6B77"/>
    <w:rsid w:val="008D4061"/>
    <w:rsid w:val="008D5C4A"/>
    <w:rsid w:val="008E1C1E"/>
    <w:rsid w:val="008E214A"/>
    <w:rsid w:val="008E2455"/>
    <w:rsid w:val="008E43FB"/>
    <w:rsid w:val="008E4AF0"/>
    <w:rsid w:val="008E6AB9"/>
    <w:rsid w:val="008E7931"/>
    <w:rsid w:val="008E7AB3"/>
    <w:rsid w:val="008F0849"/>
    <w:rsid w:val="008F1871"/>
    <w:rsid w:val="008F5D80"/>
    <w:rsid w:val="008F625F"/>
    <w:rsid w:val="008F7003"/>
    <w:rsid w:val="008F7F07"/>
    <w:rsid w:val="009017A3"/>
    <w:rsid w:val="00902639"/>
    <w:rsid w:val="00903134"/>
    <w:rsid w:val="0090614D"/>
    <w:rsid w:val="00906951"/>
    <w:rsid w:val="0090751C"/>
    <w:rsid w:val="00907954"/>
    <w:rsid w:val="00911164"/>
    <w:rsid w:val="0091119C"/>
    <w:rsid w:val="00911CC2"/>
    <w:rsid w:val="009129D7"/>
    <w:rsid w:val="00912D4A"/>
    <w:rsid w:val="00914314"/>
    <w:rsid w:val="009144A8"/>
    <w:rsid w:val="00914D69"/>
    <w:rsid w:val="009155D4"/>
    <w:rsid w:val="00916A34"/>
    <w:rsid w:val="00916FAA"/>
    <w:rsid w:val="009203C9"/>
    <w:rsid w:val="00920570"/>
    <w:rsid w:val="00921952"/>
    <w:rsid w:val="009271E8"/>
    <w:rsid w:val="00927568"/>
    <w:rsid w:val="00927DA7"/>
    <w:rsid w:val="00931415"/>
    <w:rsid w:val="009316B9"/>
    <w:rsid w:val="00935BE2"/>
    <w:rsid w:val="009366E5"/>
    <w:rsid w:val="00937379"/>
    <w:rsid w:val="009400A6"/>
    <w:rsid w:val="00941624"/>
    <w:rsid w:val="0094168C"/>
    <w:rsid w:val="00941CEA"/>
    <w:rsid w:val="00942350"/>
    <w:rsid w:val="00942AD8"/>
    <w:rsid w:val="00942CA0"/>
    <w:rsid w:val="00945787"/>
    <w:rsid w:val="00946C8F"/>
    <w:rsid w:val="00952316"/>
    <w:rsid w:val="009530DD"/>
    <w:rsid w:val="00953C18"/>
    <w:rsid w:val="00957C8F"/>
    <w:rsid w:val="0096019D"/>
    <w:rsid w:val="00960EA9"/>
    <w:rsid w:val="0096298F"/>
    <w:rsid w:val="00962BCA"/>
    <w:rsid w:val="00964C1A"/>
    <w:rsid w:val="009656BE"/>
    <w:rsid w:val="00967268"/>
    <w:rsid w:val="009674B6"/>
    <w:rsid w:val="009704F9"/>
    <w:rsid w:val="009705F3"/>
    <w:rsid w:val="00972163"/>
    <w:rsid w:val="00972181"/>
    <w:rsid w:val="009721BA"/>
    <w:rsid w:val="00973C7F"/>
    <w:rsid w:val="00973EE8"/>
    <w:rsid w:val="00975BAB"/>
    <w:rsid w:val="00975E51"/>
    <w:rsid w:val="009767E9"/>
    <w:rsid w:val="00981621"/>
    <w:rsid w:val="00982229"/>
    <w:rsid w:val="0098659F"/>
    <w:rsid w:val="00990AB4"/>
    <w:rsid w:val="00992B48"/>
    <w:rsid w:val="00995648"/>
    <w:rsid w:val="0099619F"/>
    <w:rsid w:val="00996A2E"/>
    <w:rsid w:val="00996A6B"/>
    <w:rsid w:val="00996FDC"/>
    <w:rsid w:val="00997DA8"/>
    <w:rsid w:val="00997EB5"/>
    <w:rsid w:val="00997F6C"/>
    <w:rsid w:val="009A382C"/>
    <w:rsid w:val="009A4BC2"/>
    <w:rsid w:val="009A4F5A"/>
    <w:rsid w:val="009B02CE"/>
    <w:rsid w:val="009B13B6"/>
    <w:rsid w:val="009B2D45"/>
    <w:rsid w:val="009B3A87"/>
    <w:rsid w:val="009B3D3E"/>
    <w:rsid w:val="009B3D8F"/>
    <w:rsid w:val="009B4691"/>
    <w:rsid w:val="009B5861"/>
    <w:rsid w:val="009B6107"/>
    <w:rsid w:val="009B6CDF"/>
    <w:rsid w:val="009C0763"/>
    <w:rsid w:val="009C1F64"/>
    <w:rsid w:val="009C2522"/>
    <w:rsid w:val="009C26BB"/>
    <w:rsid w:val="009C2A8C"/>
    <w:rsid w:val="009C2B21"/>
    <w:rsid w:val="009C5648"/>
    <w:rsid w:val="009C7B5B"/>
    <w:rsid w:val="009D01B3"/>
    <w:rsid w:val="009D083D"/>
    <w:rsid w:val="009D0E55"/>
    <w:rsid w:val="009D2BCA"/>
    <w:rsid w:val="009D34C4"/>
    <w:rsid w:val="009D5AEB"/>
    <w:rsid w:val="009D7923"/>
    <w:rsid w:val="009E28C0"/>
    <w:rsid w:val="009E392A"/>
    <w:rsid w:val="009E5010"/>
    <w:rsid w:val="009E53B7"/>
    <w:rsid w:val="009E5CB3"/>
    <w:rsid w:val="009E662A"/>
    <w:rsid w:val="009F35E0"/>
    <w:rsid w:val="009F3F09"/>
    <w:rsid w:val="009F4746"/>
    <w:rsid w:val="009F6306"/>
    <w:rsid w:val="009F6A1D"/>
    <w:rsid w:val="009F76BD"/>
    <w:rsid w:val="009F7E7A"/>
    <w:rsid w:val="00A0073C"/>
    <w:rsid w:val="00A02F0B"/>
    <w:rsid w:val="00A045F9"/>
    <w:rsid w:val="00A04A4F"/>
    <w:rsid w:val="00A06D99"/>
    <w:rsid w:val="00A07497"/>
    <w:rsid w:val="00A07978"/>
    <w:rsid w:val="00A12E57"/>
    <w:rsid w:val="00A1376B"/>
    <w:rsid w:val="00A24AE1"/>
    <w:rsid w:val="00A257A9"/>
    <w:rsid w:val="00A26378"/>
    <w:rsid w:val="00A27CF1"/>
    <w:rsid w:val="00A30C6D"/>
    <w:rsid w:val="00A3362F"/>
    <w:rsid w:val="00A33D5B"/>
    <w:rsid w:val="00A35D55"/>
    <w:rsid w:val="00A37BE2"/>
    <w:rsid w:val="00A42EA1"/>
    <w:rsid w:val="00A43B49"/>
    <w:rsid w:val="00A442C5"/>
    <w:rsid w:val="00A45939"/>
    <w:rsid w:val="00A45C72"/>
    <w:rsid w:val="00A4614F"/>
    <w:rsid w:val="00A53B2B"/>
    <w:rsid w:val="00A542F0"/>
    <w:rsid w:val="00A55B63"/>
    <w:rsid w:val="00A56BB5"/>
    <w:rsid w:val="00A56FD0"/>
    <w:rsid w:val="00A57C56"/>
    <w:rsid w:val="00A57E8B"/>
    <w:rsid w:val="00A621A3"/>
    <w:rsid w:val="00A62474"/>
    <w:rsid w:val="00A62D9D"/>
    <w:rsid w:val="00A63315"/>
    <w:rsid w:val="00A643C3"/>
    <w:rsid w:val="00A651C7"/>
    <w:rsid w:val="00A66199"/>
    <w:rsid w:val="00A66583"/>
    <w:rsid w:val="00A70FC9"/>
    <w:rsid w:val="00A71A7E"/>
    <w:rsid w:val="00A73424"/>
    <w:rsid w:val="00A73FDC"/>
    <w:rsid w:val="00A74692"/>
    <w:rsid w:val="00A7620A"/>
    <w:rsid w:val="00A77DD3"/>
    <w:rsid w:val="00A80BD6"/>
    <w:rsid w:val="00A814C4"/>
    <w:rsid w:val="00A816E4"/>
    <w:rsid w:val="00A81B69"/>
    <w:rsid w:val="00A81FB7"/>
    <w:rsid w:val="00A81FD7"/>
    <w:rsid w:val="00A83443"/>
    <w:rsid w:val="00A85D24"/>
    <w:rsid w:val="00A86994"/>
    <w:rsid w:val="00A86F39"/>
    <w:rsid w:val="00A9281B"/>
    <w:rsid w:val="00A92B48"/>
    <w:rsid w:val="00A96B0C"/>
    <w:rsid w:val="00A96B22"/>
    <w:rsid w:val="00AA1458"/>
    <w:rsid w:val="00AA330F"/>
    <w:rsid w:val="00AA3B2A"/>
    <w:rsid w:val="00AA3F09"/>
    <w:rsid w:val="00AA455F"/>
    <w:rsid w:val="00AA4FEC"/>
    <w:rsid w:val="00AA5F96"/>
    <w:rsid w:val="00AA6660"/>
    <w:rsid w:val="00AB2A87"/>
    <w:rsid w:val="00AB5430"/>
    <w:rsid w:val="00AB5A63"/>
    <w:rsid w:val="00AC1FCA"/>
    <w:rsid w:val="00AC30A5"/>
    <w:rsid w:val="00AC319D"/>
    <w:rsid w:val="00AC350F"/>
    <w:rsid w:val="00AD0A87"/>
    <w:rsid w:val="00AD4C3A"/>
    <w:rsid w:val="00AD7EC2"/>
    <w:rsid w:val="00AE3778"/>
    <w:rsid w:val="00AE3E29"/>
    <w:rsid w:val="00AE3EF0"/>
    <w:rsid w:val="00AF0EEF"/>
    <w:rsid w:val="00AF1500"/>
    <w:rsid w:val="00AF1A14"/>
    <w:rsid w:val="00AF31F2"/>
    <w:rsid w:val="00AF37FD"/>
    <w:rsid w:val="00AF45CE"/>
    <w:rsid w:val="00AF5D63"/>
    <w:rsid w:val="00B023E1"/>
    <w:rsid w:val="00B04DF5"/>
    <w:rsid w:val="00B0647B"/>
    <w:rsid w:val="00B07015"/>
    <w:rsid w:val="00B11572"/>
    <w:rsid w:val="00B12E1C"/>
    <w:rsid w:val="00B14FE2"/>
    <w:rsid w:val="00B150AD"/>
    <w:rsid w:val="00B160B9"/>
    <w:rsid w:val="00B162A6"/>
    <w:rsid w:val="00B179A6"/>
    <w:rsid w:val="00B204D7"/>
    <w:rsid w:val="00B2111E"/>
    <w:rsid w:val="00B2146C"/>
    <w:rsid w:val="00B21765"/>
    <w:rsid w:val="00B23878"/>
    <w:rsid w:val="00B261AC"/>
    <w:rsid w:val="00B27021"/>
    <w:rsid w:val="00B378A1"/>
    <w:rsid w:val="00B37E03"/>
    <w:rsid w:val="00B40BAB"/>
    <w:rsid w:val="00B40DE9"/>
    <w:rsid w:val="00B4337C"/>
    <w:rsid w:val="00B451EC"/>
    <w:rsid w:val="00B46171"/>
    <w:rsid w:val="00B476C1"/>
    <w:rsid w:val="00B511AF"/>
    <w:rsid w:val="00B51A8B"/>
    <w:rsid w:val="00B54A66"/>
    <w:rsid w:val="00B54B7A"/>
    <w:rsid w:val="00B5501F"/>
    <w:rsid w:val="00B5515E"/>
    <w:rsid w:val="00B616F3"/>
    <w:rsid w:val="00B62F47"/>
    <w:rsid w:val="00B62FDF"/>
    <w:rsid w:val="00B65C91"/>
    <w:rsid w:val="00B6681D"/>
    <w:rsid w:val="00B66F02"/>
    <w:rsid w:val="00B674B9"/>
    <w:rsid w:val="00B70726"/>
    <w:rsid w:val="00B70CE3"/>
    <w:rsid w:val="00B72C62"/>
    <w:rsid w:val="00B74075"/>
    <w:rsid w:val="00B74ECF"/>
    <w:rsid w:val="00B76B3E"/>
    <w:rsid w:val="00B834B8"/>
    <w:rsid w:val="00B8368A"/>
    <w:rsid w:val="00B8726C"/>
    <w:rsid w:val="00BA116F"/>
    <w:rsid w:val="00BA2CEF"/>
    <w:rsid w:val="00BA41C7"/>
    <w:rsid w:val="00BA5599"/>
    <w:rsid w:val="00BB021A"/>
    <w:rsid w:val="00BB2EA5"/>
    <w:rsid w:val="00BB3678"/>
    <w:rsid w:val="00BB5D94"/>
    <w:rsid w:val="00BB6502"/>
    <w:rsid w:val="00BB7CA6"/>
    <w:rsid w:val="00BC05FF"/>
    <w:rsid w:val="00BC1B1F"/>
    <w:rsid w:val="00BC2D99"/>
    <w:rsid w:val="00BC3660"/>
    <w:rsid w:val="00BC3E92"/>
    <w:rsid w:val="00BC4B74"/>
    <w:rsid w:val="00BD205F"/>
    <w:rsid w:val="00BD29FA"/>
    <w:rsid w:val="00BD353C"/>
    <w:rsid w:val="00BD5BBE"/>
    <w:rsid w:val="00BD5E06"/>
    <w:rsid w:val="00BD7049"/>
    <w:rsid w:val="00BE5DEF"/>
    <w:rsid w:val="00BF2B55"/>
    <w:rsid w:val="00BF3121"/>
    <w:rsid w:val="00BF35B4"/>
    <w:rsid w:val="00BF3A3D"/>
    <w:rsid w:val="00BF46AF"/>
    <w:rsid w:val="00BF471C"/>
    <w:rsid w:val="00BF562C"/>
    <w:rsid w:val="00BF5B5D"/>
    <w:rsid w:val="00BF7350"/>
    <w:rsid w:val="00C00EAB"/>
    <w:rsid w:val="00C02EB6"/>
    <w:rsid w:val="00C037FE"/>
    <w:rsid w:val="00C04715"/>
    <w:rsid w:val="00C0566D"/>
    <w:rsid w:val="00C05D3B"/>
    <w:rsid w:val="00C118A7"/>
    <w:rsid w:val="00C124B6"/>
    <w:rsid w:val="00C13CA6"/>
    <w:rsid w:val="00C13E6D"/>
    <w:rsid w:val="00C1523E"/>
    <w:rsid w:val="00C22D69"/>
    <w:rsid w:val="00C305B0"/>
    <w:rsid w:val="00C32DAC"/>
    <w:rsid w:val="00C32E33"/>
    <w:rsid w:val="00C333C6"/>
    <w:rsid w:val="00C3363A"/>
    <w:rsid w:val="00C34258"/>
    <w:rsid w:val="00C369EE"/>
    <w:rsid w:val="00C3796C"/>
    <w:rsid w:val="00C41FBF"/>
    <w:rsid w:val="00C44B8A"/>
    <w:rsid w:val="00C44F0F"/>
    <w:rsid w:val="00C50C5C"/>
    <w:rsid w:val="00C519C8"/>
    <w:rsid w:val="00C51AE8"/>
    <w:rsid w:val="00C54A0A"/>
    <w:rsid w:val="00C54A58"/>
    <w:rsid w:val="00C55054"/>
    <w:rsid w:val="00C57A75"/>
    <w:rsid w:val="00C61731"/>
    <w:rsid w:val="00C6196D"/>
    <w:rsid w:val="00C6299C"/>
    <w:rsid w:val="00C6713A"/>
    <w:rsid w:val="00C70489"/>
    <w:rsid w:val="00C73E6A"/>
    <w:rsid w:val="00C74AE7"/>
    <w:rsid w:val="00C752FF"/>
    <w:rsid w:val="00C77737"/>
    <w:rsid w:val="00C81D01"/>
    <w:rsid w:val="00C83568"/>
    <w:rsid w:val="00C84446"/>
    <w:rsid w:val="00C92797"/>
    <w:rsid w:val="00C92E82"/>
    <w:rsid w:val="00C93A8F"/>
    <w:rsid w:val="00C944FF"/>
    <w:rsid w:val="00C95680"/>
    <w:rsid w:val="00C96EE6"/>
    <w:rsid w:val="00CA6102"/>
    <w:rsid w:val="00CB2071"/>
    <w:rsid w:val="00CB4F05"/>
    <w:rsid w:val="00CC0571"/>
    <w:rsid w:val="00CC0C36"/>
    <w:rsid w:val="00CC0E00"/>
    <w:rsid w:val="00CC265E"/>
    <w:rsid w:val="00CC2909"/>
    <w:rsid w:val="00CC2C40"/>
    <w:rsid w:val="00CC57BE"/>
    <w:rsid w:val="00CD0D8D"/>
    <w:rsid w:val="00CD0FF4"/>
    <w:rsid w:val="00CD36DC"/>
    <w:rsid w:val="00CD497A"/>
    <w:rsid w:val="00CD4A92"/>
    <w:rsid w:val="00CD5849"/>
    <w:rsid w:val="00CD6365"/>
    <w:rsid w:val="00CD70CB"/>
    <w:rsid w:val="00CE1A32"/>
    <w:rsid w:val="00CE4BFB"/>
    <w:rsid w:val="00CE4DBC"/>
    <w:rsid w:val="00CE59F3"/>
    <w:rsid w:val="00CE6093"/>
    <w:rsid w:val="00CE6EB3"/>
    <w:rsid w:val="00CE7579"/>
    <w:rsid w:val="00CF1800"/>
    <w:rsid w:val="00CF308B"/>
    <w:rsid w:val="00D02D28"/>
    <w:rsid w:val="00D04547"/>
    <w:rsid w:val="00D06F46"/>
    <w:rsid w:val="00D0758A"/>
    <w:rsid w:val="00D0773D"/>
    <w:rsid w:val="00D1071E"/>
    <w:rsid w:val="00D15BE1"/>
    <w:rsid w:val="00D173AF"/>
    <w:rsid w:val="00D20444"/>
    <w:rsid w:val="00D226AC"/>
    <w:rsid w:val="00D272B2"/>
    <w:rsid w:val="00D278C0"/>
    <w:rsid w:val="00D30C2D"/>
    <w:rsid w:val="00D31DFB"/>
    <w:rsid w:val="00D32774"/>
    <w:rsid w:val="00D327D8"/>
    <w:rsid w:val="00D32F62"/>
    <w:rsid w:val="00D42389"/>
    <w:rsid w:val="00D4645A"/>
    <w:rsid w:val="00D53701"/>
    <w:rsid w:val="00D53FE2"/>
    <w:rsid w:val="00D5540F"/>
    <w:rsid w:val="00D55AD2"/>
    <w:rsid w:val="00D57C99"/>
    <w:rsid w:val="00D60CE6"/>
    <w:rsid w:val="00D62904"/>
    <w:rsid w:val="00D62CEB"/>
    <w:rsid w:val="00D63C9D"/>
    <w:rsid w:val="00D64EA4"/>
    <w:rsid w:val="00D71078"/>
    <w:rsid w:val="00D717B5"/>
    <w:rsid w:val="00D744CC"/>
    <w:rsid w:val="00D75C5A"/>
    <w:rsid w:val="00D77A42"/>
    <w:rsid w:val="00D80594"/>
    <w:rsid w:val="00D806A7"/>
    <w:rsid w:val="00D80ABD"/>
    <w:rsid w:val="00D8126B"/>
    <w:rsid w:val="00D82BE6"/>
    <w:rsid w:val="00D82F1B"/>
    <w:rsid w:val="00D83340"/>
    <w:rsid w:val="00D85224"/>
    <w:rsid w:val="00D86FBA"/>
    <w:rsid w:val="00D905EF"/>
    <w:rsid w:val="00D90DCE"/>
    <w:rsid w:val="00D936D1"/>
    <w:rsid w:val="00D9394A"/>
    <w:rsid w:val="00D93E36"/>
    <w:rsid w:val="00D9466A"/>
    <w:rsid w:val="00D94EEA"/>
    <w:rsid w:val="00D96250"/>
    <w:rsid w:val="00D969ED"/>
    <w:rsid w:val="00D97EE2"/>
    <w:rsid w:val="00DA10BE"/>
    <w:rsid w:val="00DA18D9"/>
    <w:rsid w:val="00DA369E"/>
    <w:rsid w:val="00DA5A3B"/>
    <w:rsid w:val="00DB0BBA"/>
    <w:rsid w:val="00DB1555"/>
    <w:rsid w:val="00DB71AB"/>
    <w:rsid w:val="00DC1B68"/>
    <w:rsid w:val="00DC1D3B"/>
    <w:rsid w:val="00DC1FD5"/>
    <w:rsid w:val="00DC4DF6"/>
    <w:rsid w:val="00DC761A"/>
    <w:rsid w:val="00DD168D"/>
    <w:rsid w:val="00DD21CF"/>
    <w:rsid w:val="00DD4709"/>
    <w:rsid w:val="00DD5933"/>
    <w:rsid w:val="00DD5B57"/>
    <w:rsid w:val="00DD6C47"/>
    <w:rsid w:val="00DE2E0B"/>
    <w:rsid w:val="00DE6AF4"/>
    <w:rsid w:val="00DF33D2"/>
    <w:rsid w:val="00DF3B41"/>
    <w:rsid w:val="00DF3C4C"/>
    <w:rsid w:val="00DF4DF6"/>
    <w:rsid w:val="00DF6AF8"/>
    <w:rsid w:val="00DF70C3"/>
    <w:rsid w:val="00E000D2"/>
    <w:rsid w:val="00E01017"/>
    <w:rsid w:val="00E025E2"/>
    <w:rsid w:val="00E03977"/>
    <w:rsid w:val="00E03AC7"/>
    <w:rsid w:val="00E14BCE"/>
    <w:rsid w:val="00E16789"/>
    <w:rsid w:val="00E252D3"/>
    <w:rsid w:val="00E26700"/>
    <w:rsid w:val="00E278AA"/>
    <w:rsid w:val="00E3305E"/>
    <w:rsid w:val="00E33C4C"/>
    <w:rsid w:val="00E343AA"/>
    <w:rsid w:val="00E356C8"/>
    <w:rsid w:val="00E40144"/>
    <w:rsid w:val="00E42CFF"/>
    <w:rsid w:val="00E4302B"/>
    <w:rsid w:val="00E45E72"/>
    <w:rsid w:val="00E45EA0"/>
    <w:rsid w:val="00E477B8"/>
    <w:rsid w:val="00E50E54"/>
    <w:rsid w:val="00E510C8"/>
    <w:rsid w:val="00E51FCC"/>
    <w:rsid w:val="00E623DB"/>
    <w:rsid w:val="00E648F1"/>
    <w:rsid w:val="00E6506C"/>
    <w:rsid w:val="00E678AB"/>
    <w:rsid w:val="00E701E8"/>
    <w:rsid w:val="00E71630"/>
    <w:rsid w:val="00E71989"/>
    <w:rsid w:val="00E75276"/>
    <w:rsid w:val="00E77703"/>
    <w:rsid w:val="00E77E86"/>
    <w:rsid w:val="00E8054E"/>
    <w:rsid w:val="00E80BBC"/>
    <w:rsid w:val="00E85BA5"/>
    <w:rsid w:val="00E9248B"/>
    <w:rsid w:val="00E92E96"/>
    <w:rsid w:val="00E9420C"/>
    <w:rsid w:val="00E97AB2"/>
    <w:rsid w:val="00EA0A2A"/>
    <w:rsid w:val="00EA0FC2"/>
    <w:rsid w:val="00EA1657"/>
    <w:rsid w:val="00EA27D9"/>
    <w:rsid w:val="00EA3C05"/>
    <w:rsid w:val="00EA4FE9"/>
    <w:rsid w:val="00EB3D1A"/>
    <w:rsid w:val="00EB4080"/>
    <w:rsid w:val="00EB5454"/>
    <w:rsid w:val="00EB5CAE"/>
    <w:rsid w:val="00EB6540"/>
    <w:rsid w:val="00EB694A"/>
    <w:rsid w:val="00EB7E5B"/>
    <w:rsid w:val="00EC2E69"/>
    <w:rsid w:val="00EC3D9A"/>
    <w:rsid w:val="00EC3DB5"/>
    <w:rsid w:val="00EC58DF"/>
    <w:rsid w:val="00EC646F"/>
    <w:rsid w:val="00EC7DEA"/>
    <w:rsid w:val="00ED0CDD"/>
    <w:rsid w:val="00ED16C0"/>
    <w:rsid w:val="00ED16C3"/>
    <w:rsid w:val="00ED27CA"/>
    <w:rsid w:val="00ED34F1"/>
    <w:rsid w:val="00ED4446"/>
    <w:rsid w:val="00ED65D8"/>
    <w:rsid w:val="00EE2896"/>
    <w:rsid w:val="00EE2BBF"/>
    <w:rsid w:val="00EE340A"/>
    <w:rsid w:val="00EE4479"/>
    <w:rsid w:val="00EE459A"/>
    <w:rsid w:val="00EE6E7D"/>
    <w:rsid w:val="00EE7070"/>
    <w:rsid w:val="00EE79DB"/>
    <w:rsid w:val="00EF19F7"/>
    <w:rsid w:val="00EF2C98"/>
    <w:rsid w:val="00EF401A"/>
    <w:rsid w:val="00EF46AA"/>
    <w:rsid w:val="00F00B82"/>
    <w:rsid w:val="00F03921"/>
    <w:rsid w:val="00F03A06"/>
    <w:rsid w:val="00F100D0"/>
    <w:rsid w:val="00F107BC"/>
    <w:rsid w:val="00F13206"/>
    <w:rsid w:val="00F13269"/>
    <w:rsid w:val="00F14140"/>
    <w:rsid w:val="00F152CB"/>
    <w:rsid w:val="00F16620"/>
    <w:rsid w:val="00F20461"/>
    <w:rsid w:val="00F20D7C"/>
    <w:rsid w:val="00F23C76"/>
    <w:rsid w:val="00F23DEA"/>
    <w:rsid w:val="00F270EA"/>
    <w:rsid w:val="00F27E0F"/>
    <w:rsid w:val="00F30E96"/>
    <w:rsid w:val="00F3225F"/>
    <w:rsid w:val="00F327A6"/>
    <w:rsid w:val="00F355E5"/>
    <w:rsid w:val="00F370E6"/>
    <w:rsid w:val="00F37B6E"/>
    <w:rsid w:val="00F420F5"/>
    <w:rsid w:val="00F42CE9"/>
    <w:rsid w:val="00F454BF"/>
    <w:rsid w:val="00F47747"/>
    <w:rsid w:val="00F47D07"/>
    <w:rsid w:val="00F509C2"/>
    <w:rsid w:val="00F51B6C"/>
    <w:rsid w:val="00F52EF1"/>
    <w:rsid w:val="00F53DDD"/>
    <w:rsid w:val="00F54A4E"/>
    <w:rsid w:val="00F56D43"/>
    <w:rsid w:val="00F611FF"/>
    <w:rsid w:val="00F632C5"/>
    <w:rsid w:val="00F63510"/>
    <w:rsid w:val="00F6518B"/>
    <w:rsid w:val="00F67D08"/>
    <w:rsid w:val="00F721D9"/>
    <w:rsid w:val="00F75A64"/>
    <w:rsid w:val="00F75F8E"/>
    <w:rsid w:val="00F76327"/>
    <w:rsid w:val="00F76D7C"/>
    <w:rsid w:val="00F7726E"/>
    <w:rsid w:val="00F8135C"/>
    <w:rsid w:val="00F81DAB"/>
    <w:rsid w:val="00F82290"/>
    <w:rsid w:val="00F82702"/>
    <w:rsid w:val="00F82F32"/>
    <w:rsid w:val="00F83977"/>
    <w:rsid w:val="00F87013"/>
    <w:rsid w:val="00F9005F"/>
    <w:rsid w:val="00F925E2"/>
    <w:rsid w:val="00F968FD"/>
    <w:rsid w:val="00FA0CFC"/>
    <w:rsid w:val="00FA13C5"/>
    <w:rsid w:val="00FA2DE9"/>
    <w:rsid w:val="00FA3978"/>
    <w:rsid w:val="00FA4499"/>
    <w:rsid w:val="00FA4BE5"/>
    <w:rsid w:val="00FA51E1"/>
    <w:rsid w:val="00FB0385"/>
    <w:rsid w:val="00FB0698"/>
    <w:rsid w:val="00FB1EA5"/>
    <w:rsid w:val="00FB2CCF"/>
    <w:rsid w:val="00FB2CFD"/>
    <w:rsid w:val="00FB38FC"/>
    <w:rsid w:val="00FB58C8"/>
    <w:rsid w:val="00FB6287"/>
    <w:rsid w:val="00FB6D37"/>
    <w:rsid w:val="00FB7EB7"/>
    <w:rsid w:val="00FC0ED8"/>
    <w:rsid w:val="00FC10D8"/>
    <w:rsid w:val="00FC33F4"/>
    <w:rsid w:val="00FC33FF"/>
    <w:rsid w:val="00FC3E26"/>
    <w:rsid w:val="00FD2197"/>
    <w:rsid w:val="00FD25D6"/>
    <w:rsid w:val="00FD2EB9"/>
    <w:rsid w:val="00FD4E2B"/>
    <w:rsid w:val="00FD525A"/>
    <w:rsid w:val="00FD6044"/>
    <w:rsid w:val="00FD6BC0"/>
    <w:rsid w:val="00FD778C"/>
    <w:rsid w:val="00FD7F8C"/>
    <w:rsid w:val="00FE48D5"/>
    <w:rsid w:val="00FE5E40"/>
    <w:rsid w:val="00FE66CD"/>
    <w:rsid w:val="00FF1FE6"/>
    <w:rsid w:val="00FF201B"/>
    <w:rsid w:val="00FF246B"/>
    <w:rsid w:val="00FF3439"/>
    <w:rsid w:val="00FF3EE3"/>
    <w:rsid w:val="00FF4C95"/>
    <w:rsid w:val="00FF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8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6085"/>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1A6085"/>
  </w:style>
  <w:style w:type="paragraph" w:styleId="Rodap">
    <w:name w:val="footer"/>
    <w:basedOn w:val="Normal"/>
    <w:link w:val="RodapChar"/>
    <w:uiPriority w:val="99"/>
    <w:unhideWhenUsed/>
    <w:rsid w:val="001A6085"/>
    <w:pPr>
      <w:tabs>
        <w:tab w:val="center" w:pos="4680"/>
        <w:tab w:val="right" w:pos="9360"/>
      </w:tabs>
      <w:spacing w:after="0" w:line="240" w:lineRule="auto"/>
    </w:pPr>
  </w:style>
  <w:style w:type="character" w:customStyle="1" w:styleId="RodapChar">
    <w:name w:val="Rodapé Char"/>
    <w:basedOn w:val="Fontepargpadro"/>
    <w:link w:val="Rodap"/>
    <w:uiPriority w:val="99"/>
    <w:rsid w:val="001A6085"/>
  </w:style>
  <w:style w:type="character" w:styleId="Nmerodelinha">
    <w:name w:val="line number"/>
    <w:basedOn w:val="Fontepargpadro"/>
    <w:uiPriority w:val="99"/>
    <w:semiHidden/>
    <w:unhideWhenUsed/>
    <w:rsid w:val="001A6085"/>
  </w:style>
  <w:style w:type="table" w:styleId="Tabelacomgrade">
    <w:name w:val="Table Grid"/>
    <w:basedOn w:val="Tabelanormal"/>
    <w:uiPriority w:val="59"/>
    <w:rsid w:val="001A6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a">
    <w:name w:val="Bibliography"/>
    <w:basedOn w:val="Normal"/>
    <w:next w:val="Normal"/>
    <w:uiPriority w:val="37"/>
    <w:unhideWhenUsed/>
    <w:rsid w:val="00A73FDC"/>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8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6085"/>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1A6085"/>
  </w:style>
  <w:style w:type="paragraph" w:styleId="Rodap">
    <w:name w:val="footer"/>
    <w:basedOn w:val="Normal"/>
    <w:link w:val="RodapChar"/>
    <w:uiPriority w:val="99"/>
    <w:unhideWhenUsed/>
    <w:rsid w:val="001A6085"/>
    <w:pPr>
      <w:tabs>
        <w:tab w:val="center" w:pos="4680"/>
        <w:tab w:val="right" w:pos="9360"/>
      </w:tabs>
      <w:spacing w:after="0" w:line="240" w:lineRule="auto"/>
    </w:pPr>
  </w:style>
  <w:style w:type="character" w:customStyle="1" w:styleId="RodapChar">
    <w:name w:val="Rodapé Char"/>
    <w:basedOn w:val="Fontepargpadro"/>
    <w:link w:val="Rodap"/>
    <w:uiPriority w:val="99"/>
    <w:rsid w:val="001A6085"/>
  </w:style>
  <w:style w:type="character" w:styleId="Nmerodelinha">
    <w:name w:val="line number"/>
    <w:basedOn w:val="Fontepargpadro"/>
    <w:uiPriority w:val="99"/>
    <w:semiHidden/>
    <w:unhideWhenUsed/>
    <w:rsid w:val="001A6085"/>
  </w:style>
  <w:style w:type="table" w:styleId="Tabelacomgrade">
    <w:name w:val="Table Grid"/>
    <w:basedOn w:val="Tabelanormal"/>
    <w:uiPriority w:val="59"/>
    <w:rsid w:val="001A6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a">
    <w:name w:val="Bibliography"/>
    <w:basedOn w:val="Normal"/>
    <w:next w:val="Normal"/>
    <w:uiPriority w:val="37"/>
    <w:unhideWhenUsed/>
    <w:rsid w:val="00A73FD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2710</Words>
  <Characters>15447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Carolina</dc:creator>
  <cp:lastModifiedBy>Anna Carolina</cp:lastModifiedBy>
  <cp:revision>3</cp:revision>
  <dcterms:created xsi:type="dcterms:W3CDTF">2020-09-24T15:17:00Z</dcterms:created>
  <dcterms:modified xsi:type="dcterms:W3CDTF">2020-09-24T20:11:00Z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id="BeXOz54T"/&gt;&lt;style id="http://www.zotero.org/styles/g3" hasBibliography="1" bibliographyStyleHasBeenSet="1"/&gt;&lt;prefs&gt;&lt;pref name="fieldType" value="Field"/&gt;&lt;/prefs&gt;&lt;/data&gt;</vt:lpwstr>
  </property>
</Properties>
</file>