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17B9" w14:textId="77777777" w:rsidR="00B6520B" w:rsidRDefault="00B6520B" w:rsidP="00705AAB">
      <w:pPr>
        <w:pStyle w:val="Heading2"/>
        <w:spacing w:line="480" w:lineRule="auto"/>
      </w:pPr>
      <w:r>
        <w:t>Additional Discussion for Implicated Genes</w:t>
      </w:r>
    </w:p>
    <w:p w14:paraId="19E6C2F7" w14:textId="7001BCB3" w:rsidR="00B6520B" w:rsidRDefault="00B6520B" w:rsidP="00705AAB">
      <w:pPr>
        <w:spacing w:line="480" w:lineRule="auto"/>
      </w:pPr>
      <w:r>
        <w:t xml:space="preserve">The region on chromosome 7 is closest to the gene </w:t>
      </w:r>
      <w:r w:rsidRPr="007E0059">
        <w:rPr>
          <w:i/>
          <w:iCs/>
        </w:rPr>
        <w:t>Catsperg2</w:t>
      </w:r>
      <w:r>
        <w:t xml:space="preserve">, which is a calcium ion channel associated with sperm activity </w:t>
      </w:r>
      <w:r>
        <w:fldChar w:fldCharType="begin"/>
      </w:r>
      <w:r w:rsidR="00CB7492">
        <w:instrText xml:space="preserve"> ADDIN ZOTERO_ITEM CSL_CITATION {"citationID":"Nk9Ydwnw","properties":{"formattedCitation":"(Wang {\\i{}et al.} 2009)","plainCitation":"(Wang et al. 2009)","noteIndex":0},"citationItems":[{"id":837,"uris":["http://zotero.org/users/local/tYWIeT1W/items/DLU9UHWN"],"uri":["http://zotero.org/users/local/tYWIeT1W/items/DLU9UHWN"],"itemData":{"id":837,"type":"article-journal","abstract":"All four CATSPER channel pore-forming subunits (CATSPER1–4) are localized in the sperm principal piece. They form an alkalization-activated Ca2+-permeable channel and are required for sperm-hyperactivated motility, egg coat penetration, and male fertility. Unlike many other ion channels, the composition of the CATSPER protein complex is poorly defined. Herein, we describe the novel protein CATSPERG associated with the CATSPER complex. CATSPERG is predicted to be a single transmembrane-spanning protein with a large extracellular domain and a short intracellular tail. Like all the CATSPERs and the previously identified CATSPER-associated protein CATSPERB, CATSPERG is only expressed in testis and is localized in the sperm principal piece. In CATSPER1-deficient sperm, the CATSPERG protein (but not the K+ channel protein KCNU1) is also lost. Together with previous findings, our data suggest that the CATSPER protein complex contains pore-forming proteins and two additional proteins (CATSPERB and CATSPERG) and that the trafficking and/or assembly of these proteins depends on CATSPER1.","container-title":"Biology of Reproduction","DOI":"10.1095/biolreprod.109.077107","ISSN":"0006-3363, 1529-7268","issue":"3","language":"en","page":"539-544","source":"Crossref","title":"A novel, single, transmembrane protein CATSPERG is associated with CATSPER1 channel protein1","volume":"81","author":[{"family":"Wang","given":"Haikun"},{"family":"Liu","given":"Jin"},{"family":"Cho","given":"Kwang-Hyun"},{"family":"Ren","given":"Dejian"}],"issued":{"date-parts":[["2009",9,1]]}}}],"schema":"https://github.com/citation-style-language/schema/raw/master/csl-citation.json"} </w:instrText>
      </w:r>
      <w:r>
        <w:fldChar w:fldCharType="separate"/>
      </w:r>
      <w:r w:rsidRPr="008B2BD3">
        <w:rPr>
          <w:rFonts w:ascii="Calibri" w:hAnsi="Calibri" w:cs="Calibri"/>
        </w:rPr>
        <w:t xml:space="preserve">(Wang </w:t>
      </w:r>
      <w:r w:rsidRPr="008B2BD3">
        <w:rPr>
          <w:rFonts w:ascii="Calibri" w:hAnsi="Calibri" w:cs="Calibri"/>
          <w:i/>
          <w:iCs/>
        </w:rPr>
        <w:t>et al.</w:t>
      </w:r>
      <w:r w:rsidRPr="008B2BD3">
        <w:rPr>
          <w:rFonts w:ascii="Calibri" w:hAnsi="Calibri" w:cs="Calibri"/>
        </w:rPr>
        <w:t xml:space="preserve"> 2009)</w:t>
      </w:r>
      <w:r>
        <w:fldChar w:fldCharType="end"/>
      </w:r>
      <w:r>
        <w:t xml:space="preserve">.  Although this is yet another calcium homeostasis gene and provides for some interesting hypotheses, unpublished data demonstrates no clear differences between HR and C sperm (S. A. Kelly and T. Garland, Jr., personal communication).  Additionally, the more differentiated loci within this region are downstream of this gene and cover an expanse with no verified annotations. </w:t>
      </w:r>
    </w:p>
    <w:p w14:paraId="44D23E65" w14:textId="77777777" w:rsidR="00B6520B" w:rsidRDefault="00B6520B" w:rsidP="00705AAB">
      <w:pPr>
        <w:spacing w:line="480" w:lineRule="auto"/>
      </w:pPr>
    </w:p>
    <w:p w14:paraId="50B0792A" w14:textId="6791662F" w:rsidR="00B6520B" w:rsidRPr="00F23BF8" w:rsidRDefault="00B6520B" w:rsidP="00705AAB">
      <w:pPr>
        <w:tabs>
          <w:tab w:val="left" w:pos="5415"/>
        </w:tabs>
        <w:spacing w:line="480" w:lineRule="auto"/>
        <w:rPr>
          <w:rFonts w:cstheme="minorHAnsi"/>
          <w:bCs/>
          <w:sz w:val="24"/>
          <w:szCs w:val="24"/>
        </w:rPr>
      </w:pPr>
      <w:r>
        <w:rPr>
          <w:rFonts w:cstheme="minorHAnsi"/>
          <w:bCs/>
          <w:sz w:val="24"/>
          <w:szCs w:val="24"/>
        </w:rPr>
        <w:t xml:space="preserve">A chromosome 11 region including </w:t>
      </w:r>
      <w:r w:rsidRPr="007E0059">
        <w:rPr>
          <w:rFonts w:cstheme="minorHAnsi"/>
          <w:bCs/>
          <w:i/>
          <w:iCs/>
          <w:sz w:val="24"/>
          <w:szCs w:val="24"/>
        </w:rPr>
        <w:t>Sox9</w:t>
      </w:r>
      <w:r>
        <w:rPr>
          <w:rFonts w:cstheme="minorHAnsi"/>
          <w:bCs/>
          <w:sz w:val="24"/>
          <w:szCs w:val="24"/>
        </w:rPr>
        <w:t xml:space="preserve"> was found to be differentiated.  Sox9 is a transcription factor with extensive influence on a vast variety of phenotypes.  Many of these are associated with sex determination </w:t>
      </w:r>
      <w:r>
        <w:rPr>
          <w:rFonts w:cstheme="minorHAnsi"/>
          <w:bCs/>
          <w:sz w:val="24"/>
          <w:szCs w:val="24"/>
        </w:rPr>
        <w:fldChar w:fldCharType="begin"/>
      </w:r>
      <w:r>
        <w:rPr>
          <w:rFonts w:cstheme="minorHAnsi"/>
          <w:bCs/>
          <w:sz w:val="24"/>
          <w:szCs w:val="24"/>
        </w:rPr>
        <w:instrText xml:space="preserve"> ADDIN ZOTERO_ITEM CSL_CITATION {"citationID":"LSN1TN1s","properties":{"formattedCitation":"(Jakob and Lovell-Badge 2011)","plainCitation":"(Jakob and Lovell-Badge 2011)","noteIndex":0},"citationItems":[{"id":843,"uris":["http://zotero.org/users/local/tYWIeT1W/items/AB4I689W"],"uri":["http://zotero.org/users/local/tYWIeT1W/items/AB4I689W"],"itemData":{"id":843,"type":"article-journal","container-title":"FEBS Journal","DOI":"10.1111/j.1742-4658.2011.08029.x","ISSN":"1742464X","issue":"7","language":"en","page":"1002-1009","source":"Crossref","title":"Sex determination and the control of &lt;i&gt;Sox9&lt;/i&gt; expression in mammals: &lt;i&gt;Sox9&lt;/i&gt; expression in mammals","title-short":"Sex determination and the control of &lt;i&gt;Sox9&lt;/i&gt; expression in mammals","volume":"278","author":[{"family":"Jakob","given":"Susanne"},{"family":"Lovell-Badge","given":"Robin"}],"issued":{"date-parts":[["2011",4]]}}}],"schema":"https://github.com/citation-style-language/schema/raw/master/csl-citation.json"} </w:instrText>
      </w:r>
      <w:r>
        <w:rPr>
          <w:rFonts w:cstheme="minorHAnsi"/>
          <w:bCs/>
          <w:sz w:val="24"/>
          <w:szCs w:val="24"/>
        </w:rPr>
        <w:fldChar w:fldCharType="separate"/>
      </w:r>
      <w:r w:rsidRPr="00A20CEC">
        <w:rPr>
          <w:rFonts w:ascii="Calibri" w:hAnsi="Calibri" w:cs="Calibri"/>
          <w:sz w:val="24"/>
        </w:rPr>
        <w:t>(Jakob and Lovell-Badge 2011)</w:t>
      </w:r>
      <w:r>
        <w:rPr>
          <w:rFonts w:cstheme="minorHAnsi"/>
          <w:bCs/>
          <w:sz w:val="24"/>
          <w:szCs w:val="24"/>
        </w:rPr>
        <w:fldChar w:fldCharType="end"/>
      </w:r>
      <w:r>
        <w:rPr>
          <w:rFonts w:cstheme="minorHAnsi"/>
          <w:bCs/>
          <w:sz w:val="24"/>
          <w:szCs w:val="24"/>
        </w:rPr>
        <w:t xml:space="preserve"> and cartilage development </w:t>
      </w:r>
      <w:r>
        <w:rPr>
          <w:rFonts w:cstheme="minorHAnsi"/>
          <w:bCs/>
          <w:sz w:val="24"/>
          <w:szCs w:val="24"/>
        </w:rPr>
        <w:fldChar w:fldCharType="begin"/>
      </w:r>
      <w:r>
        <w:rPr>
          <w:rFonts w:cstheme="minorHAnsi"/>
          <w:bCs/>
          <w:sz w:val="24"/>
          <w:szCs w:val="24"/>
        </w:rPr>
        <w:instrText xml:space="preserve"> ADDIN ZOTERO_ITEM CSL_CITATION {"citationID":"PAdOrpzM","properties":{"formattedCitation":"(Lefebvre {\\i{}et al.} 2019)","plainCitation":"(Lefebvre et al. 2019)","noteIndex":0},"citationItems":[{"id":845,"uris":["http://zotero.org/users/local/tYWIeT1W/items/SZMG6NEN"],"uri":["http://zotero.org/users/local/tYWIeT1W/items/SZMG6NEN"],"itemData":{"id":845,"type":"article-journal","container-title":"Current Opinion in Cell Biology","DOI":"10.1016/j.ceb.2019.07.008","ISSN":"09550674","language":"en","page":"39-47","source":"Crossref","title":"SOX9 in cartilage development and disease","volume":"61","author":[{"family":"Lefebvre","given":"Véronique"},{"family":"Angelozzi","given":"Marco"},{"family":"Haseeb","given":"Abdul"}],"issued":{"date-parts":[["2019",12]]}}}],"schema":"https://github.com/citation-style-language/schema/raw/master/csl-citation.json"} </w:instrText>
      </w:r>
      <w:r>
        <w:rPr>
          <w:rFonts w:cstheme="minorHAnsi"/>
          <w:bCs/>
          <w:sz w:val="24"/>
          <w:szCs w:val="24"/>
        </w:rPr>
        <w:fldChar w:fldCharType="separate"/>
      </w:r>
      <w:r w:rsidRPr="00A20CEC">
        <w:rPr>
          <w:rFonts w:ascii="Calibri" w:hAnsi="Calibri" w:cs="Calibri"/>
          <w:sz w:val="24"/>
          <w:szCs w:val="24"/>
        </w:rPr>
        <w:t xml:space="preserve">(Lefebvre </w:t>
      </w:r>
      <w:r w:rsidRPr="00A20CEC">
        <w:rPr>
          <w:rFonts w:ascii="Calibri" w:hAnsi="Calibri" w:cs="Calibri"/>
          <w:i/>
          <w:iCs/>
          <w:sz w:val="24"/>
          <w:szCs w:val="24"/>
        </w:rPr>
        <w:t>et al.</w:t>
      </w:r>
      <w:r w:rsidRPr="00A20CEC">
        <w:rPr>
          <w:rFonts w:ascii="Calibri" w:hAnsi="Calibri" w:cs="Calibri"/>
          <w:sz w:val="24"/>
          <w:szCs w:val="24"/>
        </w:rPr>
        <w:t xml:space="preserve"> 2019)</w:t>
      </w:r>
      <w:r>
        <w:rPr>
          <w:rFonts w:cstheme="minorHAnsi"/>
          <w:bCs/>
          <w:sz w:val="24"/>
          <w:szCs w:val="24"/>
        </w:rPr>
        <w:fldChar w:fldCharType="end"/>
      </w:r>
      <w:r>
        <w:rPr>
          <w:rFonts w:cstheme="minorHAnsi"/>
          <w:bCs/>
          <w:sz w:val="24"/>
          <w:szCs w:val="24"/>
        </w:rPr>
        <w:t xml:space="preserve">, the latter having large implications for skeletal development </w:t>
      </w:r>
      <w:r>
        <w:rPr>
          <w:rFonts w:cstheme="minorHAnsi"/>
          <w:bCs/>
          <w:sz w:val="24"/>
          <w:szCs w:val="24"/>
        </w:rPr>
        <w:fldChar w:fldCharType="begin"/>
      </w:r>
      <w:r w:rsidR="00CB7492">
        <w:rPr>
          <w:rFonts w:cstheme="minorHAnsi"/>
          <w:bCs/>
          <w:sz w:val="24"/>
          <w:szCs w:val="24"/>
        </w:rPr>
        <w:instrText xml:space="preserve"> ADDIN ZOTERO_ITEM CSL_CITATION {"citationID":"lKzmMJjD","properties":{"formattedCitation":"(Bi {\\i{}et al.} 2001)","plainCitation":"(Bi et al. 2001)","noteIndex":0},"citationItems":[{"id":848,"uris":["http://zotero.org/users/local/tYWIeT1W/items/6ZYJRMCM"],"uri":["http://zotero.org/users/local/tYWIeT1W/items/6ZYJRMCM"],"itemData":{"id":848,"type":"article-journal","container-title":"Proceedings of the National Academy of Sciences","DOI":"10.1073/pnas.111092198","ISSN":"0027-8424, 1091-6490","issue":"12","language":"en","page":"6698-6703","source":"Crossref","title":"Haploinsufficiency of &lt;i&gt;Sox9&lt;/i&gt; results in defective cartilage primordia and premature skeletal mineralization","volume":"98","author":[{"family":"Bi","given":"W."},{"family":"Huang","given":"W."},{"family":"Whitworth","given":"D. J."},{"family":"Deng","given":"J. M."},{"family":"Zhang","given":"Z."},{"family":"Behringer","given":"R. R."},{"family":"Crombrugghe","given":"B.","non-dropping-particle":"de"}],"issued":{"date-parts":[["2001",6,5]]}}}],"schema":"https://github.com/citation-style-language/schema/raw/master/csl-citation.json"} </w:instrText>
      </w:r>
      <w:r>
        <w:rPr>
          <w:rFonts w:cstheme="minorHAnsi"/>
          <w:bCs/>
          <w:sz w:val="24"/>
          <w:szCs w:val="24"/>
        </w:rPr>
        <w:fldChar w:fldCharType="separate"/>
      </w:r>
      <w:r w:rsidRPr="004163DB">
        <w:rPr>
          <w:rFonts w:ascii="Calibri" w:hAnsi="Calibri" w:cs="Calibri"/>
          <w:sz w:val="24"/>
          <w:szCs w:val="24"/>
        </w:rPr>
        <w:t xml:space="preserve">(Bi </w:t>
      </w:r>
      <w:r w:rsidRPr="004163DB">
        <w:rPr>
          <w:rFonts w:ascii="Calibri" w:hAnsi="Calibri" w:cs="Calibri"/>
          <w:i/>
          <w:iCs/>
          <w:sz w:val="24"/>
          <w:szCs w:val="24"/>
        </w:rPr>
        <w:t>et al.</w:t>
      </w:r>
      <w:r w:rsidRPr="004163DB">
        <w:rPr>
          <w:rFonts w:ascii="Calibri" w:hAnsi="Calibri" w:cs="Calibri"/>
          <w:sz w:val="24"/>
          <w:szCs w:val="24"/>
        </w:rPr>
        <w:t xml:space="preserve"> 2001)</w:t>
      </w:r>
      <w:r>
        <w:rPr>
          <w:rFonts w:cstheme="minorHAnsi"/>
          <w:bCs/>
          <w:sz w:val="24"/>
          <w:szCs w:val="24"/>
        </w:rPr>
        <w:fldChar w:fldCharType="end"/>
      </w:r>
      <w:r>
        <w:rPr>
          <w:rFonts w:cstheme="minorHAnsi"/>
          <w:bCs/>
          <w:sz w:val="24"/>
          <w:szCs w:val="24"/>
        </w:rPr>
        <w:t xml:space="preserve">.  Knockouts have also generated changes in heart </w:t>
      </w:r>
      <w:r>
        <w:rPr>
          <w:rFonts w:cstheme="minorHAnsi"/>
          <w:bCs/>
          <w:sz w:val="24"/>
          <w:szCs w:val="24"/>
        </w:rPr>
        <w:fldChar w:fldCharType="begin"/>
      </w:r>
      <w:r>
        <w:rPr>
          <w:rFonts w:cstheme="minorHAnsi"/>
          <w:bCs/>
          <w:sz w:val="24"/>
          <w:szCs w:val="24"/>
        </w:rPr>
        <w:instrText xml:space="preserve"> ADDIN ZOTERO_ITEM CSL_CITATION {"citationID":"snrsaIkR","properties":{"formattedCitation":"(Lincoln {\\i{}et al.} 2007)","plainCitation":"(Lincoln et al. 2007)","noteIndex":0},"citationItems":[{"id":850,"uris":["http://zotero.org/users/local/tYWIeT1W/items/PG9JH52G"],"uri":["http://zotero.org/users/local/tYWIeT1W/items/PG9JH52G"],"itemData":{"id":850,"type":"article-journal","abstract":"Heart valve structures derived from mesenchymal cells of the endocardial cushions (EC) are composed of highly organized cell lineages and extracellular matrix. Sox9 is a transcription factor required for both early and late stages of cartilage formation that is also expressed in the developing valves of the heart. The requirements for Sox9 function during valvulogenesis and adult valve homeostasis in mice were examined by conditional inactivation of Sox9 using Tie2-cre and Col2a1cre transgenes. Sox9flox/flox;Tie2-cre mice die before E14.5 with hypoplastic ECs, reduced cell proliferation and altered extracellular matrix protein (ECM) deposition. Sox9flox/flox;Col2a1-cre mice die at birth with thickened heart valve leaflets, reduced expression of cartilage-associated proteins, and abnormal ECM patterning. Thickened valve leaflets and calcium deposits, characteristic of valve disease, are observed in heterozygous adult Sox9flox/+;Col2a1-cre mice. Therefore, Sox9 is required early in valve development for expansion of the precursor cell population and later is required for normal expression and distribution of valvular ECM proteins. These data indicate that Sox9 is required for early and late stages of valvulogenesis and identify a potential role for Sox9 in valve disease mechanisms.","container-title":"Developmental Biology","DOI":"10.1016/j.ydbio.2007.02.002","ISSN":"00121606","issue":"1","language":"en","page":"120-132","source":"Crossref","title":"Sox9 is required for precursor cell expansion and extracellular matrix organization during mouse heart valve development","volume":"305","author":[{"family":"Lincoln","given":"Joy"},{"family":"Kist","given":"Ralf"},{"family":"Scherer","given":"Gerd"},{"family":"Yutzey","given":"Katherine E."}],"issued":{"date-parts":[["2007",5]]}}}],"schema":"https://github.com/citation-style-language/schema/raw/master/csl-citation.json"} </w:instrText>
      </w:r>
      <w:r>
        <w:rPr>
          <w:rFonts w:cstheme="minorHAnsi"/>
          <w:bCs/>
          <w:sz w:val="24"/>
          <w:szCs w:val="24"/>
        </w:rPr>
        <w:fldChar w:fldCharType="separate"/>
      </w:r>
      <w:r w:rsidRPr="004163DB">
        <w:rPr>
          <w:rFonts w:ascii="Calibri" w:hAnsi="Calibri" w:cs="Calibri"/>
          <w:sz w:val="24"/>
          <w:szCs w:val="24"/>
        </w:rPr>
        <w:t xml:space="preserve">(Lincoln </w:t>
      </w:r>
      <w:r w:rsidRPr="004163DB">
        <w:rPr>
          <w:rFonts w:ascii="Calibri" w:hAnsi="Calibri" w:cs="Calibri"/>
          <w:i/>
          <w:iCs/>
          <w:sz w:val="24"/>
          <w:szCs w:val="24"/>
        </w:rPr>
        <w:t>et al.</w:t>
      </w:r>
      <w:r w:rsidRPr="004163DB">
        <w:rPr>
          <w:rFonts w:ascii="Calibri" w:hAnsi="Calibri" w:cs="Calibri"/>
          <w:sz w:val="24"/>
          <w:szCs w:val="24"/>
        </w:rPr>
        <w:t xml:space="preserve"> 2007)</w:t>
      </w:r>
      <w:r>
        <w:rPr>
          <w:rFonts w:cstheme="minorHAnsi"/>
          <w:bCs/>
          <w:sz w:val="24"/>
          <w:szCs w:val="24"/>
        </w:rPr>
        <w:fldChar w:fldCharType="end"/>
      </w:r>
      <w:r>
        <w:rPr>
          <w:rFonts w:cstheme="minorHAnsi"/>
          <w:bCs/>
          <w:sz w:val="24"/>
          <w:szCs w:val="24"/>
        </w:rPr>
        <w:t xml:space="preserve"> and neural </w:t>
      </w:r>
      <w:r>
        <w:rPr>
          <w:rFonts w:cstheme="minorHAnsi"/>
          <w:bCs/>
          <w:sz w:val="24"/>
          <w:szCs w:val="24"/>
        </w:rPr>
        <w:fldChar w:fldCharType="begin"/>
      </w:r>
      <w:r w:rsidR="00CB7492">
        <w:rPr>
          <w:rFonts w:cstheme="minorHAnsi"/>
          <w:bCs/>
          <w:sz w:val="24"/>
          <w:szCs w:val="24"/>
        </w:rPr>
        <w:instrText xml:space="preserve"> ADDIN ZOTERO_ITEM CSL_CITATION {"citationID":"RupX0M06","properties":{"formattedCitation":"(Cheung {\\i{}et al.} 2005)","plainCitation":"(Cheung et al. 2005)","noteIndex":0},"citationItems":[{"id":852,"uris":["http://zotero.org/users/local/tYWIeT1W/items/BAWRGB75"],"uri":["http://zotero.org/users/local/tYWIeT1W/items/BAWRGB75"],"itemData":{"id":852,"type":"article-journal","abstract":"Trunk neural crest cells are generated at the border between the neural plate and nonneural ectoderm, where they initiate a distinct program of gene expression, undergo an epithelial-mesenchymal transition (EMT), and delaminate from the neuroepithelium. Here, we provide evidence that members of three families of transcription induce these properties in premigratory neural crest cells. Sox9 acts to provide the competence for neural crest cells to undergo an EMT and is required for trunk neural crest survival. In the absence of Sox9, cells apoptose prior to or shortly after delamination. Slug/Snail, in the presence of Sox9, is sufficient to induce an EMT in neural epithelial cells, while FoxD3 regulates the expression of cell-cell adhesion molecules required for neural crest migration. Together, the data suggest a model in which a combination of transcription factors regulates the acquisition of the diverse properties of neural crest cells.","container-title":"Developmental Cell","DOI":"10.1016/j.devcel.2004.12.010","ISSN":"15345807","issue":"2","language":"en","page":"179-192","source":"Crossref","title":"The transcriptional control of trunk neural crest induction, survival, and delamination","volume":"8","author":[{"family":"Cheung","given":"Martin"},{"family":"Chaboissier","given":"Marie-Christine"},{"family":"Mynett","given":"Anita"},{"family":"Hirst","given":"Elizabeth"},{"family":"Schedl","given":"Andreas"},{"family":"Briscoe","given":"James"}],"issued":{"date-parts":[["2005",2]]}}}],"schema":"https://github.com/citation-style-language/schema/raw/master/csl-citation.json"} </w:instrText>
      </w:r>
      <w:r>
        <w:rPr>
          <w:rFonts w:cstheme="minorHAnsi"/>
          <w:bCs/>
          <w:sz w:val="24"/>
          <w:szCs w:val="24"/>
        </w:rPr>
        <w:fldChar w:fldCharType="separate"/>
      </w:r>
      <w:r w:rsidRPr="00446D75">
        <w:rPr>
          <w:rFonts w:ascii="Calibri" w:hAnsi="Calibri" w:cs="Calibri"/>
          <w:sz w:val="24"/>
          <w:szCs w:val="24"/>
        </w:rPr>
        <w:t xml:space="preserve">(Cheung </w:t>
      </w:r>
      <w:r w:rsidRPr="00446D75">
        <w:rPr>
          <w:rFonts w:ascii="Calibri" w:hAnsi="Calibri" w:cs="Calibri"/>
          <w:i/>
          <w:iCs/>
          <w:sz w:val="24"/>
          <w:szCs w:val="24"/>
        </w:rPr>
        <w:t>et al.</w:t>
      </w:r>
      <w:r w:rsidRPr="00446D75">
        <w:rPr>
          <w:rFonts w:ascii="Calibri" w:hAnsi="Calibri" w:cs="Calibri"/>
          <w:sz w:val="24"/>
          <w:szCs w:val="24"/>
        </w:rPr>
        <w:t xml:space="preserve"> 2005)</w:t>
      </w:r>
      <w:r>
        <w:rPr>
          <w:rFonts w:cstheme="minorHAnsi"/>
          <w:bCs/>
          <w:sz w:val="24"/>
          <w:szCs w:val="24"/>
        </w:rPr>
        <w:fldChar w:fldCharType="end"/>
      </w:r>
      <w:r>
        <w:rPr>
          <w:rFonts w:cstheme="minorHAnsi"/>
          <w:bCs/>
          <w:sz w:val="24"/>
          <w:szCs w:val="24"/>
        </w:rPr>
        <w:t xml:space="preserve"> development.  With the widespread implications this gene could have for the HR mice, more research will have to be done to understand the specific role of </w:t>
      </w:r>
      <w:r w:rsidRPr="007E0059">
        <w:rPr>
          <w:rFonts w:cstheme="minorHAnsi"/>
          <w:bCs/>
          <w:i/>
          <w:iCs/>
          <w:sz w:val="24"/>
          <w:szCs w:val="24"/>
        </w:rPr>
        <w:t>Sox9</w:t>
      </w:r>
      <w:r>
        <w:rPr>
          <w:rFonts w:cstheme="minorHAnsi"/>
          <w:bCs/>
          <w:sz w:val="24"/>
          <w:szCs w:val="24"/>
        </w:rPr>
        <w:t xml:space="preserve"> in voluntary wheel-running behavior.</w:t>
      </w:r>
    </w:p>
    <w:p w14:paraId="1D251D3F" w14:textId="77777777" w:rsidR="00B6520B" w:rsidRDefault="00B6520B" w:rsidP="00705AAB">
      <w:pPr>
        <w:spacing w:line="480" w:lineRule="auto"/>
      </w:pPr>
    </w:p>
    <w:p w14:paraId="33DFBD53" w14:textId="029D4C93" w:rsidR="00B6520B" w:rsidRDefault="00B6520B" w:rsidP="00705AAB">
      <w:pPr>
        <w:spacing w:line="480" w:lineRule="auto"/>
        <w:rPr>
          <w:rFonts w:cstheme="minorHAnsi"/>
          <w:bCs/>
          <w:sz w:val="24"/>
          <w:szCs w:val="24"/>
        </w:rPr>
      </w:pPr>
      <w:r>
        <w:rPr>
          <w:rFonts w:cstheme="minorHAnsi"/>
          <w:bCs/>
          <w:sz w:val="24"/>
          <w:szCs w:val="24"/>
        </w:rPr>
        <w:t xml:space="preserve">On chromosome 16, </w:t>
      </w:r>
      <w:r w:rsidRPr="007E0059">
        <w:rPr>
          <w:rFonts w:cstheme="minorHAnsi"/>
          <w:bCs/>
          <w:i/>
          <w:iCs/>
          <w:sz w:val="24"/>
          <w:szCs w:val="24"/>
        </w:rPr>
        <w:t>Tnk2</w:t>
      </w:r>
      <w:r>
        <w:rPr>
          <w:rFonts w:cstheme="minorHAnsi"/>
          <w:bCs/>
          <w:sz w:val="24"/>
          <w:szCs w:val="24"/>
        </w:rPr>
        <w:t xml:space="preserve"> (aka </w:t>
      </w:r>
      <w:r w:rsidRPr="007E0059">
        <w:rPr>
          <w:rFonts w:cstheme="minorHAnsi"/>
          <w:bCs/>
          <w:i/>
          <w:iCs/>
          <w:sz w:val="24"/>
          <w:szCs w:val="24"/>
        </w:rPr>
        <w:t>ACK1</w:t>
      </w:r>
      <w:r>
        <w:rPr>
          <w:rFonts w:cstheme="minorHAnsi"/>
          <w:bCs/>
          <w:sz w:val="24"/>
          <w:szCs w:val="24"/>
        </w:rPr>
        <w:t xml:space="preserve">) has elevated expression levels in the brain as compared with other organs, with further expression increases during development </w:t>
      </w:r>
      <w:r>
        <w:rPr>
          <w:rFonts w:cstheme="minorHAnsi"/>
          <w:bCs/>
          <w:sz w:val="24"/>
          <w:szCs w:val="24"/>
        </w:rPr>
        <w:fldChar w:fldCharType="begin"/>
      </w:r>
      <w:r>
        <w:rPr>
          <w:rFonts w:cstheme="minorHAnsi"/>
          <w:bCs/>
          <w:sz w:val="24"/>
          <w:szCs w:val="24"/>
        </w:rPr>
        <w:instrText xml:space="preserve"> ADDIN ZOTERO_ITEM CSL_CITATION {"citationID":"tFbaReab","properties":{"formattedCitation":"(La Torre {\\i{}et al.} 2006)","plainCitation":"(La Torre et al. 2006)","noteIndex":0},"citationItems":[{"id":854,"uris":["http://zotero.org/users/local/tYWIeT1W/items/2F5V2T3H"],"uri":["http://zotero.org/users/local/tYWIeT1W/items/2F5V2T3H"],"itemData":{"id":854,"type":"article-journal","abstract":"Ack1 is a non-receptor tyrosine kinase that is highly expressed in the adult central nervous system (CNS). Here, we studied the distribution of Ack1 mRNA throughout the development of mouse CNS. Expression was detected in all areas of the brain but especially high levels were observed in the neocortex, hippocampus, and cerebellum. Interestingly, expression levels were prominent in areas of proliferation such as the subventricular zone and areas that originate other structures such the pontine nucleus and the ganglionic eminence. During development, several areas showed an increase in Ack1 expression, especially the dentate gyrus and CA3 in the hippocampus, layer V in the neocortex, and the Purkinje cell layer in the cerebellum. These results demonstrate that this kinase is up-regulated during development and that it is expressed in proliferative areas and in migratory pathways in the developing brain.","container-title":"Gene Expression Patterns","DOI":"10.1016/j.modgep.2006.02.009","ISSN":"1567133X","issue":"8","language":"en","page":"886-892","source":"Crossref","title":"Expression pattern of ACK1 tyrosine kinase during brain development in the mouse","volume":"6","author":[{"family":"La Torre","given":"Anna"},{"family":"Rio","given":"José Antonio","non-dropping-particle":"del"},{"family":"Soriano","given":"Eduardo"},{"family":"Ureña","given":"Jesús Mariano"}],"issued":{"date-parts":[["2006",10]]}}}],"schema":"https://github.com/citation-style-language/schema/raw/master/csl-citation.json"} </w:instrText>
      </w:r>
      <w:r>
        <w:rPr>
          <w:rFonts w:cstheme="minorHAnsi"/>
          <w:bCs/>
          <w:sz w:val="24"/>
          <w:szCs w:val="24"/>
        </w:rPr>
        <w:fldChar w:fldCharType="separate"/>
      </w:r>
      <w:r w:rsidRPr="00752CBB">
        <w:rPr>
          <w:rFonts w:ascii="Calibri" w:hAnsi="Calibri" w:cs="Calibri"/>
          <w:sz w:val="24"/>
          <w:szCs w:val="24"/>
        </w:rPr>
        <w:t xml:space="preserve">(La Torre </w:t>
      </w:r>
      <w:r w:rsidRPr="00752CBB">
        <w:rPr>
          <w:rFonts w:ascii="Calibri" w:hAnsi="Calibri" w:cs="Calibri"/>
          <w:i/>
          <w:iCs/>
          <w:sz w:val="24"/>
          <w:szCs w:val="24"/>
        </w:rPr>
        <w:t>et al.</w:t>
      </w:r>
      <w:r w:rsidRPr="00752CBB">
        <w:rPr>
          <w:rFonts w:ascii="Calibri" w:hAnsi="Calibri" w:cs="Calibri"/>
          <w:sz w:val="24"/>
          <w:szCs w:val="24"/>
        </w:rPr>
        <w:t xml:space="preserve"> 2006)</w:t>
      </w:r>
      <w:r>
        <w:rPr>
          <w:rFonts w:cstheme="minorHAnsi"/>
          <w:bCs/>
          <w:sz w:val="24"/>
          <w:szCs w:val="24"/>
        </w:rPr>
        <w:fldChar w:fldCharType="end"/>
      </w:r>
      <w:r>
        <w:rPr>
          <w:rFonts w:cstheme="minorHAnsi"/>
          <w:bCs/>
          <w:sz w:val="24"/>
          <w:szCs w:val="24"/>
        </w:rPr>
        <w:t xml:space="preserve">.  </w:t>
      </w:r>
      <w:r w:rsidRPr="007E0059">
        <w:rPr>
          <w:rFonts w:cstheme="minorHAnsi"/>
          <w:bCs/>
          <w:i/>
          <w:iCs/>
          <w:sz w:val="24"/>
          <w:szCs w:val="24"/>
        </w:rPr>
        <w:t>Ubxn7</w:t>
      </w:r>
      <w:r>
        <w:rPr>
          <w:rFonts w:cstheme="minorHAnsi"/>
          <w:bCs/>
          <w:sz w:val="24"/>
          <w:szCs w:val="24"/>
        </w:rPr>
        <w:t xml:space="preserve"> knockouts have produced mice with stunted growth </w:t>
      </w:r>
      <w:r>
        <w:rPr>
          <w:rFonts w:cstheme="minorHAnsi"/>
          <w:sz w:val="24"/>
          <w:szCs w:val="24"/>
        </w:rPr>
        <w:fldChar w:fldCharType="begin"/>
      </w:r>
      <w:r>
        <w:rPr>
          <w:rFonts w:cstheme="minorHAnsi"/>
          <w:sz w:val="24"/>
          <w:szCs w:val="24"/>
        </w:rPr>
        <w:instrText xml:space="preserve"> ADDIN ZOTERO_ITEM CSL_CITATION {"citationID":"AT03w0DW","properties":{"formattedCitation":"(The International Mouse Phenotyping Consortium {\\i{}et al.} 2016)","plainCitation":"(The International Mouse Phenotyping Consortium et al. 2016)","noteIndex":0},"citationItems":[{"id":814,"uris":["http://zotero.org/users/local/tYWIeT1W/items/8HFF6V7P"],"uri":["http://zotero.org/users/local/tYWIeT1W/items/8HFF6V7P"],"itemData":{"id":814,"type":"article-journal","container-title":"Nature","DOI":"10.1038/nature19356","ISSN":"0028-0836, 1476-4687","issue":"7621","language":"en","page":"508-514","source":"Crossref","title":"High-throughput discovery of novel developmental phenotypes","volume":"537","author":[{"literal":"The International Mouse Phenotyping Consortium"},{"family":"Dickinson","given":"Mary E."},{"family":"Flenniken","given":"Ann M."},{"family":"Ji","given":"Xiao"},{"family":"Teboul","given":"Lydia"},{"family":"Wong","given":"Michael D."},{"family":"White","given":"Jacqueline K."},{"family":"Meehan","given":"Terrence F."},{"family":"Weninger","given":"Wolfgang J."},{"family":"Westerberg","given":"Henrik"},{"family":"Adissu","given":"Hibret"},{"family":"Baker","given":"Candice N."},{"family":"Bower","given":"Lynette"},{"family":"Brown","given":"James M."},{"family":"Caddle","given":"L. Brianna"},{"family":"Chiani","given":"Francesco"},{"family":"Clary","given":"Dave"},{"family":"Cleak","given":"James"},{"family":"Daly","given":"Mark J."},{"family":"Denegre","given":"James M."},{"family":"Doe","given":"Brendan"},{"family":"Dolan","given":"Mary E."},{"family":"Edie","given":"Sarah M."},{"family":"Fuchs","given":"Helmut"},{"family":"Gailus-Durner","given":"Valerie"},{"family":"Galli","given":"Antonella"},{"family":"Gambadoro","given":"Alessia"},{"family":"Gallegos","given":"Juan"},{"family":"Guo","given":"Shiying"},{"family":"Horner","given":"Neil R."},{"family":"Hsu","given":"Chih-Wei"},{"family":"Johnson","given":"Sara J."},{"family":"Kalaga","given":"Sowmya"},{"family":"Keith","given":"Lance C."},{"family":"Lanoue","given":"Louise"},{"family":"Lawson","given":"Thomas N."},{"family":"Lek","given":"Monkol"},{"family":"Mark","given":"Manuel"},{"family":"Marschall","given":"Susan"},{"family":"Mason","given":"Jeremy"},{"family":"McElwee","given":"Melissa L."},{"family":"Newbigging","given":"Susan"},{"family":"Nutter","given":"Lauryl M. J."},{"family":"Peterson","given":"Kevin A."},{"family":"Ramirez-Solis","given":"Ramiro"},{"family":"Rowland","given":"Douglas J."},{"family":"Ryder","given":"Edward"},{"family":"Samocha","given":"Kaitlin E."},{"family":"Seavitt","given":"John R."},{"family":"Selloum","given":"Mohammed"},{"family":"Szoke-Kovacs","given":"Zsombor"},{"family":"Tamura","given":"Masaru"},{"family":"Trainor","given":"Amanda G."},{"family":"Tudose","given":"Ilinca"},{"family":"Wakana","given":"Shigeharu"},{"family":"Warren","given":"Jonathan"},{"family":"Wendling","given":"Olivia"},{"family":"West","given":"David B."},{"family":"Wong","given":"Leeyean"},{"family":"Yoshiki","given":"Atsushi"},{"family":"Wurst","given":"Wolfgang"},{"family":"MacArthur","given":"Daniel G."},{"family":"Tocchini-Valentini","given":"Glauco P."},{"family":"Gao","given":"Xiang"},{"family":"Flicek","given":"Paul"},{"family":"Bradley","given":"Allan"},{"family":"Skarnes","given":"William C."},{"family":"Justice","given":"Monica J."},{"family":"Parkinson","given":"Helen E."},{"family":"Moore","given":"Mark"},{"family":"Wells","given":"Sara"},{"family":"Braun","given":"Robert E."},{"family":"Svenson","given":"Karen L."},{"family":"Angelis","given":"Martin Hrabe","non-dropping-particle":"de"},{"family":"Herault","given":"Yann"},{"family":"Mohun","given":"Tim"},{"family":"Mallon","given":"Ann-Marie"},{"family":"Henkelman","given":"R. Mark"},{"family":"Brown","given":"Steve D. M."},{"family":"Adams","given":"David J."},{"family":"Lloyd","given":"K. C. Kent"},{"family":"McKerlie","given":"Colin"},{"family":"Beaudet","given":"Arthur L."},{"family":"Bućan","given":"Maja"},{"family":"Murray","given":"Stephen A."}],"issued":{"date-parts":[["2016",9]]}}}],"schema":"https://github.com/citation-style-language/schema/raw/master/csl-citation.json"} </w:instrText>
      </w:r>
      <w:r>
        <w:rPr>
          <w:rFonts w:cstheme="minorHAnsi"/>
          <w:sz w:val="24"/>
          <w:szCs w:val="24"/>
        </w:rPr>
        <w:fldChar w:fldCharType="separate"/>
      </w:r>
      <w:r w:rsidRPr="002B4A4D">
        <w:rPr>
          <w:rFonts w:ascii="Calibri" w:hAnsi="Calibri" w:cs="Calibri"/>
          <w:sz w:val="24"/>
          <w:szCs w:val="24"/>
        </w:rPr>
        <w:t xml:space="preserve">(The International Mouse Phenotyping Consortium </w:t>
      </w:r>
      <w:r w:rsidRPr="002B4A4D">
        <w:rPr>
          <w:rFonts w:ascii="Calibri" w:hAnsi="Calibri" w:cs="Calibri"/>
          <w:i/>
          <w:iCs/>
          <w:sz w:val="24"/>
          <w:szCs w:val="24"/>
        </w:rPr>
        <w:t>et al.</w:t>
      </w:r>
      <w:r w:rsidRPr="002B4A4D">
        <w:rPr>
          <w:rFonts w:ascii="Calibri" w:hAnsi="Calibri" w:cs="Calibri"/>
          <w:sz w:val="24"/>
          <w:szCs w:val="24"/>
        </w:rPr>
        <w:t xml:space="preserve"> 2016)</w:t>
      </w:r>
      <w:r>
        <w:rPr>
          <w:rFonts w:cstheme="minorHAnsi"/>
          <w:sz w:val="24"/>
          <w:szCs w:val="24"/>
        </w:rPr>
        <w:fldChar w:fldCharType="end"/>
      </w:r>
      <w:r>
        <w:rPr>
          <w:rFonts w:cstheme="minorHAnsi"/>
          <w:bCs/>
          <w:sz w:val="24"/>
          <w:szCs w:val="24"/>
        </w:rPr>
        <w:t xml:space="preserve">.  But the seemingly most relevant gene for the HR and C differentiation is </w:t>
      </w:r>
      <w:r w:rsidRPr="007E0059">
        <w:rPr>
          <w:rFonts w:cstheme="minorHAnsi"/>
          <w:bCs/>
          <w:i/>
          <w:iCs/>
          <w:sz w:val="24"/>
          <w:szCs w:val="24"/>
        </w:rPr>
        <w:t>Fbxo45</w:t>
      </w:r>
      <w:r>
        <w:rPr>
          <w:rFonts w:cstheme="minorHAnsi"/>
          <w:bCs/>
          <w:sz w:val="24"/>
          <w:szCs w:val="24"/>
        </w:rPr>
        <w:t xml:space="preserve">.  </w:t>
      </w:r>
      <w:r w:rsidRPr="007E0059">
        <w:rPr>
          <w:rFonts w:cstheme="minorHAnsi"/>
          <w:bCs/>
          <w:i/>
          <w:iCs/>
          <w:sz w:val="24"/>
          <w:szCs w:val="24"/>
        </w:rPr>
        <w:t>Fbxo45</w:t>
      </w:r>
      <w:r>
        <w:rPr>
          <w:rFonts w:cstheme="minorHAnsi"/>
          <w:bCs/>
          <w:sz w:val="24"/>
          <w:szCs w:val="24"/>
        </w:rPr>
        <w:t xml:space="preserve"> is essential for neuronal development </w:t>
      </w:r>
      <w:r>
        <w:rPr>
          <w:rFonts w:cstheme="minorHAnsi"/>
          <w:bCs/>
          <w:sz w:val="24"/>
          <w:szCs w:val="24"/>
        </w:rPr>
        <w:fldChar w:fldCharType="begin"/>
      </w:r>
      <w:r w:rsidR="00CB7492">
        <w:rPr>
          <w:rFonts w:cstheme="minorHAnsi"/>
          <w:bCs/>
          <w:sz w:val="24"/>
          <w:szCs w:val="24"/>
        </w:rPr>
        <w:instrText xml:space="preserve"> ADDIN ZOTERO_ITEM CSL_CITATION {"citationID":"iLPWzM0Y","properties":{"formattedCitation":"(Saiga {\\i{}et al.} 2009)","plainCitation":"(Saiga et al. 2009)","noteIndex":0},"citationItems":[{"id":856,"uris":["http://zotero.org/users/local/tYWIeT1W/items/B66AJCN2"],"uri":["http://zotero.org/users/local/tYWIeT1W/items/B66AJCN2"],"itemData":{"id":856,"type":"article-journal","container-title":"Molecular and Cellular Biology","DOI":"10.1128/MCB.00364-09","ISSN":"0270-7306","issue":"13","language":"en","page":"3529-3543","source":"Crossref","title":"Fbxo45 forms a novel ubiquitin ligase complex and is required for neuronal development","volume":"29","author":[{"family":"Saiga","given":"T."},{"family":"Fukuda","given":"T."},{"family":"Matsumoto","given":"M."},{"family":"Tada","given":"H."},{"family":"Okano","given":"H. J."},{"family":"Okano","given":"H."},{"family":"Nakayama","given":"K. I."}],"issued":{"date-parts":[["2009",7,1]]}}}],"schema":"https://github.com/citation-style-language/schema/raw/master/csl-citation.json"} </w:instrText>
      </w:r>
      <w:r>
        <w:rPr>
          <w:rFonts w:cstheme="minorHAnsi"/>
          <w:bCs/>
          <w:sz w:val="24"/>
          <w:szCs w:val="24"/>
        </w:rPr>
        <w:fldChar w:fldCharType="separate"/>
      </w:r>
      <w:r w:rsidRPr="00F22E19">
        <w:rPr>
          <w:rFonts w:ascii="Calibri" w:hAnsi="Calibri" w:cs="Calibri"/>
          <w:sz w:val="24"/>
          <w:szCs w:val="24"/>
        </w:rPr>
        <w:t xml:space="preserve">(Saiga </w:t>
      </w:r>
      <w:r w:rsidRPr="00F22E19">
        <w:rPr>
          <w:rFonts w:ascii="Calibri" w:hAnsi="Calibri" w:cs="Calibri"/>
          <w:i/>
          <w:iCs/>
          <w:sz w:val="24"/>
          <w:szCs w:val="24"/>
        </w:rPr>
        <w:t>et al.</w:t>
      </w:r>
      <w:r w:rsidRPr="00F22E19">
        <w:rPr>
          <w:rFonts w:ascii="Calibri" w:hAnsi="Calibri" w:cs="Calibri"/>
          <w:sz w:val="24"/>
          <w:szCs w:val="24"/>
        </w:rPr>
        <w:t xml:space="preserve"> 2009)</w:t>
      </w:r>
      <w:r>
        <w:rPr>
          <w:rFonts w:cstheme="minorHAnsi"/>
          <w:bCs/>
          <w:sz w:val="24"/>
          <w:szCs w:val="24"/>
        </w:rPr>
        <w:fldChar w:fldCharType="end"/>
      </w:r>
      <w:r>
        <w:rPr>
          <w:rFonts w:cstheme="minorHAnsi"/>
          <w:bCs/>
          <w:sz w:val="24"/>
          <w:szCs w:val="24"/>
        </w:rPr>
        <w:t xml:space="preserve"> and synaptic transmission </w:t>
      </w:r>
      <w:r>
        <w:rPr>
          <w:rFonts w:cstheme="minorHAnsi"/>
          <w:bCs/>
          <w:sz w:val="24"/>
          <w:szCs w:val="24"/>
        </w:rPr>
        <w:fldChar w:fldCharType="begin"/>
      </w:r>
      <w:r w:rsidR="00CB7492">
        <w:rPr>
          <w:rFonts w:cstheme="minorHAnsi"/>
          <w:bCs/>
          <w:sz w:val="24"/>
          <w:szCs w:val="24"/>
        </w:rPr>
        <w:instrText xml:space="preserve"> ADDIN ZOTERO_ITEM CSL_CITATION {"citationID":"QiiI2X7k","properties":{"formattedCitation":"(Tada {\\i{}et al.} 2010)","plainCitation":"(Tada et al. 2010)","noteIndex":0},"citationItems":[{"id":858,"uris":["http://zotero.org/users/local/tYWIeT1W/items/P8MPI83H"],"uri":["http://zotero.org/users/local/tYWIeT1W/items/P8MPI83H"],"itemData":{"id":858,"type":"article-journal","container-title":"Journal of Biological Chemistry","DOI":"10.1074/jbc.M109.046284","ISSN":"0021-9258, 1083-351X","issue":"6","language":"en","page":"3840-3849","source":"Crossref","title":"Fbxo45, a novel ubiquitin ligase, regulates synaptic activity","volume":"285","author":[{"family":"Tada","given":"Hirobumi"},{"family":"Okano","given":"Hirotaka James"},{"family":"Takagi","given":"Hiroshi"},{"family":"Shibata","given":"Shinsuke"},{"family":"Yao","given":"Ikuko"},{"family":"Matsumoto","given":"Masaki"},{"family":"Saiga","given":"Toru"},{"family":"Nakayama","given":"Keiichi I."},{"family":"Kashima","given":"Haruo"},{"family":"Takahashi","given":"Takuya"},{"family":"Setou","given":"Mitsutoshi"},{"family":"Okano","given":"Hideyuki"}],"issued":{"date-parts":[["2010",2,5]]}}}],"schema":"https://github.com/citation-style-language/schema/raw/master/csl-citation.json"} </w:instrText>
      </w:r>
      <w:r>
        <w:rPr>
          <w:rFonts w:cstheme="minorHAnsi"/>
          <w:bCs/>
          <w:sz w:val="24"/>
          <w:szCs w:val="24"/>
        </w:rPr>
        <w:fldChar w:fldCharType="separate"/>
      </w:r>
      <w:r w:rsidRPr="00505F78">
        <w:rPr>
          <w:rFonts w:ascii="Calibri" w:hAnsi="Calibri" w:cs="Calibri"/>
          <w:sz w:val="24"/>
          <w:szCs w:val="24"/>
        </w:rPr>
        <w:t xml:space="preserve">(Tada </w:t>
      </w:r>
      <w:r w:rsidRPr="00505F78">
        <w:rPr>
          <w:rFonts w:ascii="Calibri" w:hAnsi="Calibri" w:cs="Calibri"/>
          <w:i/>
          <w:iCs/>
          <w:sz w:val="24"/>
          <w:szCs w:val="24"/>
        </w:rPr>
        <w:t>et al.</w:t>
      </w:r>
      <w:r w:rsidRPr="00505F78">
        <w:rPr>
          <w:rFonts w:ascii="Calibri" w:hAnsi="Calibri" w:cs="Calibri"/>
          <w:sz w:val="24"/>
          <w:szCs w:val="24"/>
        </w:rPr>
        <w:t xml:space="preserve"> 2010)</w:t>
      </w:r>
      <w:r>
        <w:rPr>
          <w:rFonts w:cstheme="minorHAnsi"/>
          <w:bCs/>
          <w:sz w:val="24"/>
          <w:szCs w:val="24"/>
        </w:rPr>
        <w:fldChar w:fldCharType="end"/>
      </w:r>
      <w:r>
        <w:rPr>
          <w:rFonts w:cstheme="minorHAnsi"/>
          <w:bCs/>
          <w:sz w:val="24"/>
          <w:szCs w:val="24"/>
        </w:rPr>
        <w:t>.  Furthermore, this gene is shown to interact with N-</w:t>
      </w:r>
      <w:r>
        <w:rPr>
          <w:rFonts w:cstheme="minorHAnsi"/>
          <w:bCs/>
          <w:sz w:val="24"/>
          <w:szCs w:val="24"/>
        </w:rPr>
        <w:lastRenderedPageBreak/>
        <w:t xml:space="preserve">cadherin (Cdh2, neuronal cell adhesion molecule important for neuronal development) in a calcium-dependent manner to stabilize N-cadherin </w:t>
      </w:r>
      <w:r>
        <w:rPr>
          <w:rFonts w:cstheme="minorHAnsi"/>
          <w:bCs/>
          <w:sz w:val="24"/>
          <w:szCs w:val="24"/>
        </w:rPr>
        <w:fldChar w:fldCharType="begin"/>
      </w:r>
      <w:r w:rsidR="00CB7492">
        <w:rPr>
          <w:rFonts w:cstheme="minorHAnsi"/>
          <w:bCs/>
          <w:sz w:val="24"/>
          <w:szCs w:val="24"/>
        </w:rPr>
        <w:instrText xml:space="preserve"> ADDIN ZOTERO_ITEM CSL_CITATION {"citationID":"SkluuAeW","properties":{"formattedCitation":"(Chung {\\i{}et al.} 2014)","plainCitation":"(Chung et al. 2014)","noteIndex":0},"citationItems":[{"id":860,"uris":["http://zotero.org/users/local/tYWIeT1W/items/G9D82MU9"],"uri":["http://zotero.org/users/local/tYWIeT1W/items/G9D82MU9"],"itemData":{"id":860,"type":"article-journal","abstract":"Background: Fbxo45 is an atypical E3 ligase that plays an important role in neuronal development.\nResults: Fbxo45 binds to N-cadherin intracellularly and prevents its degradation.\nConclusion: By protecting N-cadherin from proteolysis, Fbxo45 plays a key role in promoting N-cadherin-mediated neuronal differentiation. Significance: This study reveals a novel mechanism of Fbxo45-mediated neuronal differentiation.","container-title":"Journal of Biological Chemistry","DOI":"10.1074/jbc.M114.561241","ISSN":"0021-9258, 1083-351X","issue":"41","language":"en","page":"28448-28459","source":"Crossref","title":"Fbxo45 inhibits calcium-sensitive proteolysis of N-cadherin and promotes neuronal differentiation","volume":"289","author":[{"family":"Chung","given":"Fu-Zon"},{"family":"Sahasrabuddhe","given":"Anagh A."},{"family":"Ma","given":"Kaiyu"},{"family":"Chen","given":"Xiaofei"},{"family":"Basrur","given":"Venkatesha"},{"family":"Lim","given":"Megan S."},{"family":"Elenitoba-Johnson","given":"Kojo S. J."}],"issued":{"date-parts":[["2014",10,10]]}}}],"schema":"https://github.com/citation-style-language/schema/raw/master/csl-citation.json"} </w:instrText>
      </w:r>
      <w:r>
        <w:rPr>
          <w:rFonts w:cstheme="minorHAnsi"/>
          <w:bCs/>
          <w:sz w:val="24"/>
          <w:szCs w:val="24"/>
        </w:rPr>
        <w:fldChar w:fldCharType="separate"/>
      </w:r>
      <w:r w:rsidRPr="00A81592">
        <w:rPr>
          <w:rFonts w:ascii="Calibri" w:hAnsi="Calibri" w:cs="Calibri"/>
          <w:sz w:val="24"/>
          <w:szCs w:val="24"/>
        </w:rPr>
        <w:t xml:space="preserve">(Chung </w:t>
      </w:r>
      <w:r w:rsidRPr="00A81592">
        <w:rPr>
          <w:rFonts w:ascii="Calibri" w:hAnsi="Calibri" w:cs="Calibri"/>
          <w:i/>
          <w:iCs/>
          <w:sz w:val="24"/>
          <w:szCs w:val="24"/>
        </w:rPr>
        <w:t>et al.</w:t>
      </w:r>
      <w:r w:rsidRPr="00A81592">
        <w:rPr>
          <w:rFonts w:ascii="Calibri" w:hAnsi="Calibri" w:cs="Calibri"/>
          <w:sz w:val="24"/>
          <w:szCs w:val="24"/>
        </w:rPr>
        <w:t xml:space="preserve"> 2014)</w:t>
      </w:r>
      <w:r>
        <w:rPr>
          <w:rFonts w:cstheme="minorHAnsi"/>
          <w:bCs/>
          <w:sz w:val="24"/>
          <w:szCs w:val="24"/>
        </w:rPr>
        <w:fldChar w:fldCharType="end"/>
      </w:r>
      <w:r>
        <w:rPr>
          <w:rFonts w:cstheme="minorHAnsi"/>
          <w:bCs/>
          <w:sz w:val="24"/>
          <w:szCs w:val="24"/>
        </w:rPr>
        <w:t xml:space="preserve">.  </w:t>
      </w:r>
    </w:p>
    <w:p w14:paraId="381BB57E" w14:textId="1A0E7A24" w:rsidR="00B6520B" w:rsidRDefault="00B6520B">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387088FA" w14:textId="0A07EB86" w:rsidR="00B6520B" w:rsidRDefault="00B6520B" w:rsidP="00B6520B">
      <w:pPr>
        <w:pStyle w:val="Heading2"/>
      </w:pPr>
      <w:r>
        <w:lastRenderedPageBreak/>
        <w:t>Bibliography</w:t>
      </w:r>
    </w:p>
    <w:p w14:paraId="6D000F1F" w14:textId="77777777" w:rsidR="00CB7492" w:rsidRPr="00CB7492" w:rsidRDefault="00B6520B" w:rsidP="00CB7492">
      <w:pPr>
        <w:pStyle w:val="Bibliography"/>
        <w:rPr>
          <w:rFonts w:ascii="Calibri" w:hAnsi="Calibri" w:cs="Calibri"/>
        </w:rPr>
      </w:pPr>
      <w:r>
        <w:fldChar w:fldCharType="begin"/>
      </w:r>
      <w:r w:rsidR="00CB7492">
        <w:instrText xml:space="preserve"> ADDIN ZOTERO_BIBL {"uncited":[],"omitted":[],"custom":[]} CSL_BIBLIOGRAPHY </w:instrText>
      </w:r>
      <w:r>
        <w:fldChar w:fldCharType="separate"/>
      </w:r>
      <w:r w:rsidR="00CB7492" w:rsidRPr="00CB7492">
        <w:rPr>
          <w:rFonts w:ascii="Calibri" w:hAnsi="Calibri" w:cs="Calibri"/>
        </w:rPr>
        <w:t xml:space="preserve">Bi W., W. Huang, D. J. Whitworth, J. M. Deng, Z. Zhang, </w:t>
      </w:r>
      <w:r w:rsidR="00CB7492" w:rsidRPr="00CB7492">
        <w:rPr>
          <w:rFonts w:ascii="Calibri" w:hAnsi="Calibri" w:cs="Calibri"/>
          <w:i/>
          <w:iCs/>
        </w:rPr>
        <w:t>et al.</w:t>
      </w:r>
      <w:r w:rsidR="00CB7492" w:rsidRPr="00CB7492">
        <w:rPr>
          <w:rFonts w:ascii="Calibri" w:hAnsi="Calibri" w:cs="Calibri"/>
        </w:rPr>
        <w:t xml:space="preserve">, 2001 Haploinsufficiency of </w:t>
      </w:r>
      <w:r w:rsidR="00CB7492" w:rsidRPr="00CB7492">
        <w:rPr>
          <w:rFonts w:ascii="Calibri" w:hAnsi="Calibri" w:cs="Calibri"/>
          <w:i/>
          <w:iCs/>
        </w:rPr>
        <w:t>Sox9</w:t>
      </w:r>
      <w:r w:rsidR="00CB7492" w:rsidRPr="00CB7492">
        <w:rPr>
          <w:rFonts w:ascii="Calibri" w:hAnsi="Calibri" w:cs="Calibri"/>
        </w:rPr>
        <w:t xml:space="preserve"> results in defective cartilage primordia and premature skeletal mineralization. Proceedings of the National Academy of Sciences 98: 6698–6703. https://doi.org/10.1073/pnas.111092198</w:t>
      </w:r>
    </w:p>
    <w:p w14:paraId="365102A9" w14:textId="77777777" w:rsidR="00CB7492" w:rsidRPr="00CB7492" w:rsidRDefault="00CB7492" w:rsidP="00CB7492">
      <w:pPr>
        <w:pStyle w:val="Bibliography"/>
        <w:rPr>
          <w:rFonts w:ascii="Calibri" w:hAnsi="Calibri" w:cs="Calibri"/>
        </w:rPr>
      </w:pPr>
      <w:r w:rsidRPr="00CB7492">
        <w:rPr>
          <w:rFonts w:ascii="Calibri" w:hAnsi="Calibri" w:cs="Calibri"/>
        </w:rPr>
        <w:t xml:space="preserve">Cheung M., M.-C. Chaboissier, A. Mynett, E. Hirst, A. Schedl, </w:t>
      </w:r>
      <w:r w:rsidRPr="00CB7492">
        <w:rPr>
          <w:rFonts w:ascii="Calibri" w:hAnsi="Calibri" w:cs="Calibri"/>
          <w:i/>
          <w:iCs/>
        </w:rPr>
        <w:t>et al.</w:t>
      </w:r>
      <w:r w:rsidRPr="00CB7492">
        <w:rPr>
          <w:rFonts w:ascii="Calibri" w:hAnsi="Calibri" w:cs="Calibri"/>
        </w:rPr>
        <w:t>, 2005 The transcriptional control of trunk neural crest induction, survival, and delamination. Developmental Cell 8: 179–192. https://doi.org/10.1016/j.devcel.2004.12.010</w:t>
      </w:r>
    </w:p>
    <w:p w14:paraId="5CDFE489" w14:textId="77777777" w:rsidR="00CB7492" w:rsidRPr="00CB7492" w:rsidRDefault="00CB7492" w:rsidP="00CB7492">
      <w:pPr>
        <w:pStyle w:val="Bibliography"/>
        <w:rPr>
          <w:rFonts w:ascii="Calibri" w:hAnsi="Calibri" w:cs="Calibri"/>
        </w:rPr>
      </w:pPr>
      <w:r w:rsidRPr="00CB7492">
        <w:rPr>
          <w:rFonts w:ascii="Calibri" w:hAnsi="Calibri" w:cs="Calibri"/>
        </w:rPr>
        <w:t xml:space="preserve">Chung F.-Z., A. A. Sahasrabuddhe, K. Ma, X. Chen, V. Basrur, </w:t>
      </w:r>
      <w:r w:rsidRPr="00CB7492">
        <w:rPr>
          <w:rFonts w:ascii="Calibri" w:hAnsi="Calibri" w:cs="Calibri"/>
          <w:i/>
          <w:iCs/>
        </w:rPr>
        <w:t>et al.</w:t>
      </w:r>
      <w:r w:rsidRPr="00CB7492">
        <w:rPr>
          <w:rFonts w:ascii="Calibri" w:hAnsi="Calibri" w:cs="Calibri"/>
        </w:rPr>
        <w:t>, 2014 Fbxo45 inhibits calcium-sensitive proteolysis of N-cadherin and promotes neuronal differentiation. Journal of Biological Chemistry 289: 28448–28459. https://doi.org/10.1074/jbc.M114.561241</w:t>
      </w:r>
    </w:p>
    <w:p w14:paraId="144F3F21" w14:textId="77777777" w:rsidR="00CB7492" w:rsidRPr="00CB7492" w:rsidRDefault="00CB7492" w:rsidP="00CB7492">
      <w:pPr>
        <w:pStyle w:val="Bibliography"/>
        <w:rPr>
          <w:rFonts w:ascii="Calibri" w:hAnsi="Calibri" w:cs="Calibri"/>
        </w:rPr>
      </w:pPr>
      <w:r w:rsidRPr="00CB7492">
        <w:rPr>
          <w:rFonts w:ascii="Calibri" w:hAnsi="Calibri" w:cs="Calibri"/>
        </w:rPr>
        <w:t xml:space="preserve">Jakob S., and R. Lovell-Badge, 2011 Sex determination and the control of </w:t>
      </w:r>
      <w:r w:rsidRPr="00CB7492">
        <w:rPr>
          <w:rFonts w:ascii="Calibri" w:hAnsi="Calibri" w:cs="Calibri"/>
          <w:i/>
          <w:iCs/>
        </w:rPr>
        <w:t>Sox9</w:t>
      </w:r>
      <w:r w:rsidRPr="00CB7492">
        <w:rPr>
          <w:rFonts w:ascii="Calibri" w:hAnsi="Calibri" w:cs="Calibri"/>
        </w:rPr>
        <w:t xml:space="preserve"> expression in mammals: </w:t>
      </w:r>
      <w:r w:rsidRPr="00CB7492">
        <w:rPr>
          <w:rFonts w:ascii="Calibri" w:hAnsi="Calibri" w:cs="Calibri"/>
          <w:i/>
          <w:iCs/>
        </w:rPr>
        <w:t>Sox9</w:t>
      </w:r>
      <w:r w:rsidRPr="00CB7492">
        <w:rPr>
          <w:rFonts w:ascii="Calibri" w:hAnsi="Calibri" w:cs="Calibri"/>
        </w:rPr>
        <w:t xml:space="preserve"> expression in mammals. FEBS Journal 278: 1002–1009. https://doi.org/10.1111/j.1742-4658.2011.08029.x</w:t>
      </w:r>
    </w:p>
    <w:p w14:paraId="3F3582EB" w14:textId="77777777" w:rsidR="00CB7492" w:rsidRPr="00CB7492" w:rsidRDefault="00CB7492" w:rsidP="00CB7492">
      <w:pPr>
        <w:pStyle w:val="Bibliography"/>
        <w:rPr>
          <w:rFonts w:ascii="Calibri" w:hAnsi="Calibri" w:cs="Calibri"/>
        </w:rPr>
      </w:pPr>
      <w:r w:rsidRPr="00CB7492">
        <w:rPr>
          <w:rFonts w:ascii="Calibri" w:hAnsi="Calibri" w:cs="Calibri"/>
        </w:rPr>
        <w:t>La Torre A., J. A. del Rio, E. Soriano, and J. M. Ureña, 2006 Expression pattern of ACK1 tyrosine kinase during brain development in the mouse. Gene Expression Patterns 6: 886–892. https://doi.org/10.1016/j.modgep.2006.02.009</w:t>
      </w:r>
    </w:p>
    <w:p w14:paraId="02EC587A" w14:textId="77777777" w:rsidR="00CB7492" w:rsidRPr="00CB7492" w:rsidRDefault="00CB7492" w:rsidP="00CB7492">
      <w:pPr>
        <w:pStyle w:val="Bibliography"/>
        <w:rPr>
          <w:rFonts w:ascii="Calibri" w:hAnsi="Calibri" w:cs="Calibri"/>
        </w:rPr>
      </w:pPr>
      <w:r w:rsidRPr="00CB7492">
        <w:rPr>
          <w:rFonts w:ascii="Calibri" w:hAnsi="Calibri" w:cs="Calibri"/>
        </w:rPr>
        <w:t>Lefebvre V., M. Angelozzi, and A. Haseeb, 2019 SOX9 in cartilage development and disease. Current Opinion in Cell Biology 61: 39–47. https://doi.org/10.1016/j.ceb.2019.07.008</w:t>
      </w:r>
    </w:p>
    <w:p w14:paraId="400AF166" w14:textId="77777777" w:rsidR="00CB7492" w:rsidRPr="00CB7492" w:rsidRDefault="00CB7492" w:rsidP="00CB7492">
      <w:pPr>
        <w:pStyle w:val="Bibliography"/>
        <w:rPr>
          <w:rFonts w:ascii="Calibri" w:hAnsi="Calibri" w:cs="Calibri"/>
        </w:rPr>
      </w:pPr>
      <w:r w:rsidRPr="00CB7492">
        <w:rPr>
          <w:rFonts w:ascii="Calibri" w:hAnsi="Calibri" w:cs="Calibri"/>
        </w:rPr>
        <w:t>Lincoln J., R. Kist, G. Scherer, and K. E. Yutzey, 2007 Sox9 is required for precursor cell expansion and extracellular matrix organization during mouse heart valve development. Developmental Biology 305: 120–132. https://doi.org/10.1016/j.ydbio.2007.02.002</w:t>
      </w:r>
    </w:p>
    <w:p w14:paraId="7EDBAEEB" w14:textId="77777777" w:rsidR="00CB7492" w:rsidRPr="00CB7492" w:rsidRDefault="00CB7492" w:rsidP="00CB7492">
      <w:pPr>
        <w:pStyle w:val="Bibliography"/>
        <w:rPr>
          <w:rFonts w:ascii="Calibri" w:hAnsi="Calibri" w:cs="Calibri"/>
        </w:rPr>
      </w:pPr>
      <w:r w:rsidRPr="00CB7492">
        <w:rPr>
          <w:rFonts w:ascii="Calibri" w:hAnsi="Calibri" w:cs="Calibri"/>
        </w:rPr>
        <w:lastRenderedPageBreak/>
        <w:t xml:space="preserve">Lindhout F. W., Y. Cao, J. T. Kevenaar, A. Bodzęta, R. Stucchi, </w:t>
      </w:r>
      <w:r w:rsidRPr="00CB7492">
        <w:rPr>
          <w:rFonts w:ascii="Calibri" w:hAnsi="Calibri" w:cs="Calibri"/>
          <w:i/>
          <w:iCs/>
        </w:rPr>
        <w:t>et al.</w:t>
      </w:r>
      <w:r w:rsidRPr="00CB7492">
        <w:rPr>
          <w:rFonts w:ascii="Calibri" w:hAnsi="Calibri" w:cs="Calibri"/>
        </w:rPr>
        <w:t>, 2019 VAP‐SCRN1 interaction regulates dynamic endoplasmic reticulum remodeling and presynaptic function. The EMBO Journal. https://doi.org/10.15252/embj.2018101345</w:t>
      </w:r>
    </w:p>
    <w:p w14:paraId="4CD26E8C" w14:textId="77777777" w:rsidR="00CB7492" w:rsidRPr="00CB7492" w:rsidRDefault="00CB7492" w:rsidP="00CB7492">
      <w:pPr>
        <w:pStyle w:val="Bibliography"/>
        <w:rPr>
          <w:rFonts w:ascii="Calibri" w:hAnsi="Calibri" w:cs="Calibri"/>
        </w:rPr>
      </w:pPr>
      <w:r w:rsidRPr="00CB7492">
        <w:rPr>
          <w:rFonts w:ascii="Calibri" w:hAnsi="Calibri" w:cs="Calibri"/>
        </w:rPr>
        <w:t xml:space="preserve">Saiga T., T. Fukuda, M. Matsumoto, H. Tada, H. J. Okano, </w:t>
      </w:r>
      <w:r w:rsidRPr="00CB7492">
        <w:rPr>
          <w:rFonts w:ascii="Calibri" w:hAnsi="Calibri" w:cs="Calibri"/>
          <w:i/>
          <w:iCs/>
        </w:rPr>
        <w:t>et al.</w:t>
      </w:r>
      <w:r w:rsidRPr="00CB7492">
        <w:rPr>
          <w:rFonts w:ascii="Calibri" w:hAnsi="Calibri" w:cs="Calibri"/>
        </w:rPr>
        <w:t>, 2009 Fbxo45 forms a novel ubiquitin ligase complex and is required for neuronal development. Molecular and Cellular Biology 29: 3529–3543. https://doi.org/10.1128/MCB.00364-09</w:t>
      </w:r>
    </w:p>
    <w:p w14:paraId="3FE7D065" w14:textId="77777777" w:rsidR="00CB7492" w:rsidRPr="00CB7492" w:rsidRDefault="00CB7492" w:rsidP="00CB7492">
      <w:pPr>
        <w:pStyle w:val="Bibliography"/>
        <w:rPr>
          <w:rFonts w:ascii="Calibri" w:hAnsi="Calibri" w:cs="Calibri"/>
        </w:rPr>
      </w:pPr>
      <w:r w:rsidRPr="00CB7492">
        <w:rPr>
          <w:rFonts w:ascii="Calibri" w:hAnsi="Calibri" w:cs="Calibri"/>
        </w:rPr>
        <w:t xml:space="preserve">Tada H., H. J. Okano, H. Takagi, S. Shibata, I. Yao, </w:t>
      </w:r>
      <w:r w:rsidRPr="00CB7492">
        <w:rPr>
          <w:rFonts w:ascii="Calibri" w:hAnsi="Calibri" w:cs="Calibri"/>
          <w:i/>
          <w:iCs/>
        </w:rPr>
        <w:t>et al.</w:t>
      </w:r>
      <w:r w:rsidRPr="00CB7492">
        <w:rPr>
          <w:rFonts w:ascii="Calibri" w:hAnsi="Calibri" w:cs="Calibri"/>
        </w:rPr>
        <w:t>, 2010 Fbxo45, a novel ubiquitin ligase, regulates synaptic activity. Journal of Biological Chemistry 285: 3840–3849. https://doi.org/10.1074/jbc.M109.046284</w:t>
      </w:r>
    </w:p>
    <w:p w14:paraId="3B327CDF" w14:textId="77777777" w:rsidR="00CB7492" w:rsidRPr="00CB7492" w:rsidRDefault="00CB7492" w:rsidP="00CB7492">
      <w:pPr>
        <w:pStyle w:val="Bibliography"/>
        <w:rPr>
          <w:rFonts w:ascii="Calibri" w:hAnsi="Calibri" w:cs="Calibri"/>
        </w:rPr>
      </w:pPr>
      <w:r w:rsidRPr="00CB7492">
        <w:rPr>
          <w:rFonts w:ascii="Calibri" w:hAnsi="Calibri" w:cs="Calibri"/>
        </w:rPr>
        <w:t xml:space="preserve">The International Mouse Phenotyping Consortium, M. E. Dickinson, A. M. Flenniken, X. Ji, L. Teboul, </w:t>
      </w:r>
      <w:r w:rsidRPr="00CB7492">
        <w:rPr>
          <w:rFonts w:ascii="Calibri" w:hAnsi="Calibri" w:cs="Calibri"/>
          <w:i/>
          <w:iCs/>
        </w:rPr>
        <w:t>et al.</w:t>
      </w:r>
      <w:r w:rsidRPr="00CB7492">
        <w:rPr>
          <w:rFonts w:ascii="Calibri" w:hAnsi="Calibri" w:cs="Calibri"/>
        </w:rPr>
        <w:t>, 2016 High-throughput discovery of novel developmental phenotypes. Nature 537: 508–514. https://doi.org/10.1038/nature19356</w:t>
      </w:r>
    </w:p>
    <w:p w14:paraId="1AED4A1C" w14:textId="77777777" w:rsidR="00CB7492" w:rsidRPr="00CB7492" w:rsidRDefault="00CB7492" w:rsidP="00CB7492">
      <w:pPr>
        <w:pStyle w:val="Bibliography"/>
        <w:rPr>
          <w:rFonts w:ascii="Calibri" w:hAnsi="Calibri" w:cs="Calibri"/>
        </w:rPr>
      </w:pPr>
      <w:r w:rsidRPr="00CB7492">
        <w:rPr>
          <w:rFonts w:ascii="Calibri" w:hAnsi="Calibri" w:cs="Calibri"/>
        </w:rPr>
        <w:t>Wang H., J. Liu, K.-H. Cho, and D. Ren, 2009 A novel, single, transmembrane protein CATSPERG is associated with CATSPER1 channel protein1. Biology of Reproduction 81: 539–544. https://doi.org/10.1095/biolreprod.109.077107</w:t>
      </w:r>
    </w:p>
    <w:p w14:paraId="6CE31997" w14:textId="7EBEBFE0" w:rsidR="00B6520B" w:rsidRPr="00B6520B" w:rsidRDefault="00B6520B" w:rsidP="00B6520B">
      <w:r>
        <w:fldChar w:fldCharType="end"/>
      </w:r>
    </w:p>
    <w:sectPr w:rsidR="00B6520B" w:rsidRPr="00B6520B" w:rsidSect="00705AA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A2"/>
    <w:rsid w:val="00107D42"/>
    <w:rsid w:val="00705AAB"/>
    <w:rsid w:val="007976A6"/>
    <w:rsid w:val="00AF605D"/>
    <w:rsid w:val="00B32216"/>
    <w:rsid w:val="00B6520B"/>
    <w:rsid w:val="00B74AA2"/>
    <w:rsid w:val="00B81D39"/>
    <w:rsid w:val="00C81C40"/>
    <w:rsid w:val="00CB7492"/>
    <w:rsid w:val="00CD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935B"/>
  <w15:chartTrackingRefBased/>
  <w15:docId w15:val="{DF24AAED-3C9B-45AE-884F-B1365D07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0B"/>
  </w:style>
  <w:style w:type="paragraph" w:styleId="Heading2">
    <w:name w:val="heading 2"/>
    <w:basedOn w:val="Normal"/>
    <w:next w:val="Normal"/>
    <w:link w:val="Heading2Char"/>
    <w:uiPriority w:val="9"/>
    <w:unhideWhenUsed/>
    <w:qFormat/>
    <w:rsid w:val="00B652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20B"/>
    <w:rPr>
      <w:rFonts w:ascii="Segoe UI" w:hAnsi="Segoe UI" w:cs="Segoe UI"/>
      <w:sz w:val="18"/>
      <w:szCs w:val="18"/>
    </w:rPr>
  </w:style>
  <w:style w:type="character" w:customStyle="1" w:styleId="Heading2Char">
    <w:name w:val="Heading 2 Char"/>
    <w:basedOn w:val="DefaultParagraphFont"/>
    <w:link w:val="Heading2"/>
    <w:uiPriority w:val="9"/>
    <w:rsid w:val="00B6520B"/>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B6520B"/>
    <w:pPr>
      <w:spacing w:after="240" w:line="480" w:lineRule="auto"/>
      <w:ind w:left="720" w:hanging="720"/>
    </w:pPr>
  </w:style>
  <w:style w:type="character" w:styleId="LineNumber">
    <w:name w:val="line number"/>
    <w:basedOn w:val="DefaultParagraphFont"/>
    <w:uiPriority w:val="99"/>
    <w:semiHidden/>
    <w:unhideWhenUsed/>
    <w:rsid w:val="0070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Hillis</dc:creator>
  <cp:keywords/>
  <dc:description/>
  <cp:lastModifiedBy>David Hillis</cp:lastModifiedBy>
  <cp:revision>2</cp:revision>
  <dcterms:created xsi:type="dcterms:W3CDTF">2020-08-12T21:09:00Z</dcterms:created>
  <dcterms:modified xsi:type="dcterms:W3CDTF">2020-08-12T21:09:00Z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id="pFeBVa99"/&gt;&lt;style id="http://www.zotero.org/styles/genetics" hasBibliography="1" bibliographyStyleHasBeenSet="1"/&gt;&lt;prefs&gt;&lt;pref name="fieldType" value="Field"/&gt;&lt;/prefs&gt;&lt;/data&gt;</vt:lpwstr>
  </property>
</Properties>
</file>