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9B" w:rsidRPr="000756A2" w:rsidRDefault="00F24C9B" w:rsidP="00A34500">
      <w:pPr>
        <w:rPr>
          <w:rFonts w:ascii="Helvetica" w:hAnsi="Helvetica" w:cs="Times New Roman"/>
          <w:b/>
          <w:szCs w:val="21"/>
        </w:rPr>
      </w:pPr>
      <w:bookmarkStart w:id="0" w:name="_GoBack"/>
      <w:r w:rsidRPr="000756A2">
        <w:rPr>
          <w:rFonts w:ascii="Helvetica" w:hAnsi="Helvetica" w:cs="Times New Roman"/>
          <w:b/>
          <w:szCs w:val="21"/>
        </w:rPr>
        <w:t xml:space="preserve">Table </w:t>
      </w:r>
      <w:r w:rsidR="000756A2" w:rsidRPr="000756A2">
        <w:rPr>
          <w:rFonts w:ascii="Helvetica" w:hAnsi="Helvetica" w:cs="Times New Roman"/>
          <w:b/>
          <w:szCs w:val="21"/>
        </w:rPr>
        <w:t>S</w:t>
      </w:r>
      <w:r w:rsidRPr="000756A2">
        <w:rPr>
          <w:rFonts w:ascii="Helvetica" w:hAnsi="Helvetica" w:cs="Times New Roman"/>
          <w:b/>
          <w:szCs w:val="21"/>
        </w:rPr>
        <w:t>1</w:t>
      </w:r>
      <w:r w:rsidR="000756A2" w:rsidRPr="000756A2">
        <w:rPr>
          <w:rFonts w:ascii="Helvetica" w:hAnsi="Helvetica" w:cs="Times New Roman"/>
          <w:b/>
          <w:szCs w:val="21"/>
        </w:rPr>
        <w:t>.</w:t>
      </w:r>
      <w:r w:rsidR="00570425" w:rsidRPr="000756A2">
        <w:rPr>
          <w:rFonts w:ascii="Helvetica" w:hAnsi="Helvetica" w:cs="Times New Roman"/>
          <w:b/>
          <w:szCs w:val="21"/>
        </w:rPr>
        <w:t xml:space="preserve"> </w:t>
      </w:r>
      <w:r w:rsidR="002070EB" w:rsidRPr="000756A2">
        <w:rPr>
          <w:rFonts w:ascii="Helvetica" w:hAnsi="Helvetica" w:cs="Times New Roman"/>
          <w:b/>
          <w:szCs w:val="21"/>
        </w:rPr>
        <w:t>S</w:t>
      </w:r>
      <w:r w:rsidR="00570425" w:rsidRPr="000756A2">
        <w:rPr>
          <w:rFonts w:ascii="Helvetica" w:hAnsi="Helvetica" w:cs="Times New Roman"/>
          <w:b/>
          <w:szCs w:val="21"/>
        </w:rPr>
        <w:t xml:space="preserve">equencing statistics for </w:t>
      </w:r>
      <w:r w:rsidRPr="000756A2">
        <w:rPr>
          <w:rFonts w:ascii="Helvetica" w:hAnsi="Helvetica" w:cs="Times New Roman"/>
          <w:b/>
          <w:i/>
          <w:szCs w:val="21"/>
        </w:rPr>
        <w:t xml:space="preserve">Hydra </w:t>
      </w:r>
      <w:proofErr w:type="spellStart"/>
      <w:r w:rsidRPr="000756A2">
        <w:rPr>
          <w:rFonts w:ascii="Helvetica" w:hAnsi="Helvetica" w:cs="Times New Roman"/>
          <w:b/>
          <w:i/>
          <w:szCs w:val="21"/>
        </w:rPr>
        <w:t>viridissima</w:t>
      </w:r>
      <w:proofErr w:type="spellEnd"/>
      <w:r w:rsidRPr="000756A2">
        <w:rPr>
          <w:rFonts w:ascii="Helvetica" w:hAnsi="Helvetica" w:cs="Times New Roman"/>
          <w:b/>
          <w:szCs w:val="21"/>
        </w:rPr>
        <w:t xml:space="preserve"> A99</w:t>
      </w:r>
    </w:p>
    <w:bookmarkEnd w:id="0"/>
    <w:p w:rsidR="00A34500" w:rsidRPr="00F856F8" w:rsidRDefault="00A34500" w:rsidP="00A34500">
      <w:pPr>
        <w:rPr>
          <w:rFonts w:ascii="Helvetica" w:hAnsi="Helvetica" w:cs="Times New Roman"/>
          <w:szCs w:val="21"/>
        </w:rPr>
      </w:pPr>
    </w:p>
    <w:p w:rsidR="00F24C9B" w:rsidRPr="00F856F8" w:rsidRDefault="002070EB" w:rsidP="00A34500">
      <w:pPr>
        <w:rPr>
          <w:rFonts w:ascii="Helvetica" w:hAnsi="Helvetica" w:cs="Times New Roman"/>
          <w:szCs w:val="21"/>
        </w:rPr>
      </w:pPr>
      <w:r w:rsidRPr="00F856F8">
        <w:rPr>
          <w:rFonts w:ascii="Helvetica" w:hAnsi="Helvetica" w:cs="Times New Roman"/>
          <w:szCs w:val="21"/>
        </w:rPr>
        <w:t>A. Genome sequencing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984"/>
      </w:tblGrid>
      <w:tr w:rsidR="00A34500" w:rsidRPr="00F856F8" w:rsidTr="00F856F8">
        <w:trPr>
          <w:trHeight w:val="57"/>
        </w:trPr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Method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Average insert size (</w:t>
            </w:r>
            <w:proofErr w:type="spellStart"/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kbp</w:t>
            </w:r>
            <w:proofErr w:type="spellEnd"/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Number of reads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Total sequence bases (</w:t>
            </w:r>
            <w:proofErr w:type="spellStart"/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bp</w:t>
            </w:r>
            <w:proofErr w:type="spellEnd"/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)</w:t>
            </w:r>
          </w:p>
        </w:tc>
      </w:tr>
      <w:tr w:rsidR="00A34500" w:rsidRPr="00F856F8" w:rsidTr="00F856F8">
        <w:trPr>
          <w:trHeight w:val="57"/>
        </w:trPr>
        <w:tc>
          <w:tcPr>
            <w:tcW w:w="1129" w:type="dxa"/>
            <w:tcBorders>
              <w:top w:val="single" w:sz="8" w:space="0" w:color="auto"/>
            </w:tcBorders>
            <w:noWrap/>
            <w:hideMark/>
          </w:tcPr>
          <w:p w:rsidR="002070EB" w:rsidRPr="00F856F8" w:rsidRDefault="00F856F8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p</w:t>
            </w:r>
            <w:r w:rsidR="002070EB" w:rsidRPr="00F856F8">
              <w:rPr>
                <w:rFonts w:ascii="Helvetica" w:hAnsi="Helvetica" w:cs="Times New Roman"/>
                <w:sz w:val="16"/>
                <w:szCs w:val="16"/>
              </w:rPr>
              <w:t>aired-end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0.54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22,898,708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7,070,567,877</w:t>
            </w:r>
          </w:p>
        </w:tc>
      </w:tr>
      <w:tr w:rsidR="00A34500" w:rsidRPr="00F856F8" w:rsidTr="00F856F8">
        <w:trPr>
          <w:trHeight w:val="57"/>
        </w:trPr>
        <w:tc>
          <w:tcPr>
            <w:tcW w:w="1129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mate-pair</w:t>
            </w:r>
          </w:p>
        </w:tc>
        <w:tc>
          <w:tcPr>
            <w:tcW w:w="1843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3.2</w:t>
            </w:r>
          </w:p>
        </w:tc>
        <w:tc>
          <w:tcPr>
            <w:tcW w:w="1418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16,396,858</w:t>
            </w:r>
          </w:p>
        </w:tc>
        <w:tc>
          <w:tcPr>
            <w:tcW w:w="1984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4,765,376,261</w:t>
            </w:r>
          </w:p>
        </w:tc>
      </w:tr>
      <w:tr w:rsidR="00A34500" w:rsidRPr="00F856F8" w:rsidTr="00F856F8">
        <w:trPr>
          <w:trHeight w:val="57"/>
        </w:trPr>
        <w:tc>
          <w:tcPr>
            <w:tcW w:w="1129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mate-pair</w:t>
            </w:r>
          </w:p>
        </w:tc>
        <w:tc>
          <w:tcPr>
            <w:tcW w:w="1843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4.6</w:t>
            </w:r>
          </w:p>
        </w:tc>
        <w:tc>
          <w:tcPr>
            <w:tcW w:w="1418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15,675,862</w:t>
            </w:r>
          </w:p>
        </w:tc>
        <w:tc>
          <w:tcPr>
            <w:tcW w:w="1984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4,769,208,860</w:t>
            </w:r>
          </w:p>
        </w:tc>
      </w:tr>
      <w:tr w:rsidR="00A34500" w:rsidRPr="00F856F8" w:rsidTr="00F856F8">
        <w:trPr>
          <w:trHeight w:val="57"/>
        </w:trPr>
        <w:tc>
          <w:tcPr>
            <w:tcW w:w="1129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mate-pair</w:t>
            </w:r>
          </w:p>
        </w:tc>
        <w:tc>
          <w:tcPr>
            <w:tcW w:w="1843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7.8</w:t>
            </w:r>
          </w:p>
        </w:tc>
        <w:tc>
          <w:tcPr>
            <w:tcW w:w="1418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11,955,526</w:t>
            </w:r>
          </w:p>
        </w:tc>
        <w:tc>
          <w:tcPr>
            <w:tcW w:w="1984" w:type="dxa"/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3,669,733,399</w:t>
            </w:r>
          </w:p>
        </w:tc>
      </w:tr>
      <w:tr w:rsidR="00A34500" w:rsidRPr="00F856F8" w:rsidTr="00F856F8">
        <w:trPr>
          <w:trHeight w:val="57"/>
        </w:trPr>
        <w:tc>
          <w:tcPr>
            <w:tcW w:w="1129" w:type="dxa"/>
            <w:tcBorders>
              <w:bottom w:val="dashSmallGap" w:sz="4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mate-pair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15.2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11,583,414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3,551,259,973</w:t>
            </w:r>
          </w:p>
        </w:tc>
      </w:tr>
      <w:tr w:rsidR="00A34500" w:rsidRPr="00F856F8" w:rsidTr="00F856F8">
        <w:trPr>
          <w:trHeight w:val="57"/>
        </w:trPr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(Total)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78,510,368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2070EB" w:rsidRPr="00F856F8" w:rsidRDefault="002070EB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23,826,146,370</w:t>
            </w:r>
          </w:p>
        </w:tc>
      </w:tr>
    </w:tbl>
    <w:p w:rsidR="002070EB" w:rsidRPr="00F856F8" w:rsidRDefault="002070EB" w:rsidP="00A34500">
      <w:pPr>
        <w:rPr>
          <w:rFonts w:ascii="Helvetica" w:hAnsi="Helvetica" w:cs="Times New Roman"/>
          <w:szCs w:val="16"/>
        </w:rPr>
      </w:pPr>
      <w:r w:rsidRPr="00F856F8">
        <w:rPr>
          <w:rFonts w:ascii="Helvetica" w:hAnsi="Helvetica" w:cs="Times New Roman"/>
          <w:szCs w:val="16"/>
        </w:rPr>
        <w:t>B. RNA-sequencing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985"/>
      </w:tblGrid>
      <w:tr w:rsidR="00A34500" w:rsidRPr="00F856F8" w:rsidTr="00F856F8">
        <w:trPr>
          <w:trHeight w:val="20"/>
        </w:trPr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Method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Sample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Number of reads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center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Total sequence bases (</w:t>
            </w:r>
            <w:proofErr w:type="spellStart"/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bp</w:t>
            </w:r>
            <w:proofErr w:type="spellEnd"/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)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vMerge w:val="restart"/>
            <w:tcBorders>
              <w:top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paired-end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Symbiotic hydra in the light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82,359,812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11,036,214,808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vMerge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Symbiotic hydra in the dark</w:t>
            </w:r>
          </w:p>
        </w:tc>
        <w:tc>
          <w:tcPr>
            <w:tcW w:w="1276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85,506,198</w:t>
            </w:r>
          </w:p>
        </w:tc>
        <w:tc>
          <w:tcPr>
            <w:tcW w:w="1985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11,457,830,532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vMerge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Symbiotic hydra treated with DMCU</w:t>
            </w:r>
          </w:p>
        </w:tc>
        <w:tc>
          <w:tcPr>
            <w:tcW w:w="1276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77,803,532</w:t>
            </w:r>
          </w:p>
        </w:tc>
        <w:tc>
          <w:tcPr>
            <w:tcW w:w="1985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10,425,673,288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vMerge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Symbiotic hydra treated with antibiotics</w:t>
            </w:r>
          </w:p>
        </w:tc>
        <w:tc>
          <w:tcPr>
            <w:tcW w:w="1276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81,479,328</w:t>
            </w:r>
          </w:p>
        </w:tc>
        <w:tc>
          <w:tcPr>
            <w:tcW w:w="1985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10,918,229,952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vMerge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976" w:type="dxa"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 w:rsidRPr="00F856F8">
              <w:rPr>
                <w:rFonts w:ascii="Helvetica" w:hAnsi="Helvetica" w:cs="Times New Roman"/>
                <w:sz w:val="16"/>
                <w:szCs w:val="16"/>
              </w:rPr>
              <w:t>Aposymbiotic</w:t>
            </w:r>
            <w:proofErr w:type="spellEnd"/>
            <w:r w:rsidRPr="00F856F8">
              <w:rPr>
                <w:rFonts w:ascii="Helvetica" w:hAnsi="Helvetica" w:cs="Times New Roman"/>
                <w:sz w:val="16"/>
                <w:szCs w:val="16"/>
              </w:rPr>
              <w:t xml:space="preserve"> hydra in the light</w:t>
            </w:r>
          </w:p>
        </w:tc>
        <w:tc>
          <w:tcPr>
            <w:tcW w:w="1276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93,821,528</w:t>
            </w:r>
          </w:p>
        </w:tc>
        <w:tc>
          <w:tcPr>
            <w:tcW w:w="1985" w:type="dxa"/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12,572,084,752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vMerge/>
            <w:tcBorders>
              <w:bottom w:val="dashSmallGap" w:sz="4" w:space="0" w:color="auto"/>
            </w:tcBorders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 w:rsidRPr="00F856F8">
              <w:rPr>
                <w:rFonts w:ascii="Helvetica" w:hAnsi="Helvetica" w:cs="Times New Roman"/>
                <w:sz w:val="16"/>
                <w:szCs w:val="16"/>
              </w:rPr>
              <w:t>Aposymbiotic</w:t>
            </w:r>
            <w:proofErr w:type="spellEnd"/>
            <w:r w:rsidRPr="00F856F8">
              <w:rPr>
                <w:rFonts w:ascii="Helvetica" w:hAnsi="Helvetica" w:cs="Times New Roman"/>
                <w:sz w:val="16"/>
                <w:szCs w:val="16"/>
              </w:rPr>
              <w:t xml:space="preserve"> hydra in the dark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81,565,856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10,929,824,704</w:t>
            </w:r>
          </w:p>
        </w:tc>
      </w:tr>
      <w:tr w:rsidR="00A34500" w:rsidRPr="00F856F8" w:rsidTr="00F856F8">
        <w:trPr>
          <w:trHeight w:val="20"/>
        </w:trPr>
        <w:tc>
          <w:tcPr>
            <w:tcW w:w="988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b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b/>
                <w:sz w:val="16"/>
                <w:szCs w:val="16"/>
              </w:rPr>
              <w:t>(Total)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502,536,254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8" w:space="0" w:color="auto"/>
            </w:tcBorders>
            <w:noWrap/>
            <w:hideMark/>
          </w:tcPr>
          <w:p w:rsidR="00A34500" w:rsidRPr="00F856F8" w:rsidRDefault="00A34500" w:rsidP="00A34500">
            <w:pPr>
              <w:spacing w:line="180" w:lineRule="exact"/>
              <w:jc w:val="right"/>
              <w:rPr>
                <w:rFonts w:ascii="Helvetica" w:hAnsi="Helvetica" w:cs="Times New Roman"/>
                <w:sz w:val="16"/>
                <w:szCs w:val="16"/>
              </w:rPr>
            </w:pPr>
            <w:r w:rsidRPr="00F856F8">
              <w:rPr>
                <w:rFonts w:ascii="Helvetica" w:hAnsi="Helvetica" w:cs="Times New Roman"/>
                <w:sz w:val="16"/>
                <w:szCs w:val="16"/>
              </w:rPr>
              <w:t>67,339,858,036</w:t>
            </w:r>
          </w:p>
        </w:tc>
      </w:tr>
    </w:tbl>
    <w:p w:rsidR="00F24C9B" w:rsidRPr="00F856F8" w:rsidRDefault="00F24C9B" w:rsidP="00A34500">
      <w:pPr>
        <w:spacing w:line="180" w:lineRule="exact"/>
        <w:rPr>
          <w:rFonts w:ascii="Helvetica" w:hAnsi="Helvetica" w:cs="Times New Roman"/>
          <w:sz w:val="16"/>
          <w:szCs w:val="16"/>
        </w:rPr>
      </w:pPr>
    </w:p>
    <w:sectPr w:rsidR="00F24C9B" w:rsidRPr="00F856F8" w:rsidSect="0080400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9B"/>
    <w:rsid w:val="0003490C"/>
    <w:rsid w:val="000756A2"/>
    <w:rsid w:val="000F07F2"/>
    <w:rsid w:val="00187CC9"/>
    <w:rsid w:val="002070EB"/>
    <w:rsid w:val="00523C41"/>
    <w:rsid w:val="00570425"/>
    <w:rsid w:val="00611702"/>
    <w:rsid w:val="006E17BB"/>
    <w:rsid w:val="0080400B"/>
    <w:rsid w:val="00A34500"/>
    <w:rsid w:val="00A55350"/>
    <w:rsid w:val="00A71B9C"/>
    <w:rsid w:val="00AA2A75"/>
    <w:rsid w:val="00B15196"/>
    <w:rsid w:val="00F24C9B"/>
    <w:rsid w:val="00F35333"/>
    <w:rsid w:val="00F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7F44"/>
  <w15:chartTrackingRefBased/>
  <w15:docId w15:val="{806B3660-5B32-E842-893A-0C6E59B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AA2A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AA2A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A2A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Mayuko Hamada</dc:creator>
  <cp:keywords/>
  <dc:description/>
  <cp:lastModifiedBy>Hamada Mayuko</cp:lastModifiedBy>
  <cp:revision>3</cp:revision>
  <cp:lastPrinted>2019-08-30T13:17:00Z</cp:lastPrinted>
  <dcterms:created xsi:type="dcterms:W3CDTF">2020-05-13T07:46:00Z</dcterms:created>
  <dcterms:modified xsi:type="dcterms:W3CDTF">2020-05-18T10:05:00Z</dcterms:modified>
</cp:coreProperties>
</file>