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0EB5" w14:textId="4767C515" w:rsidR="00A30142" w:rsidRDefault="00A30142" w:rsidP="00A30142">
      <w:pPr>
        <w:widowControl w:val="0"/>
        <w:autoSpaceDE w:val="0"/>
        <w:autoSpaceDN w:val="0"/>
        <w:adjustRightInd w:val="0"/>
        <w:ind w:left="480" w:hanging="480"/>
        <w:rPr>
          <w:b/>
          <w:bCs/>
        </w:rPr>
      </w:pPr>
      <w:r w:rsidRPr="00C82B98">
        <w:rPr>
          <w:b/>
          <w:bCs/>
        </w:rPr>
        <w:t>Supplementary Information</w:t>
      </w:r>
    </w:p>
    <w:p w14:paraId="201115BD" w14:textId="77777777" w:rsidR="00A30142" w:rsidRDefault="00A30142" w:rsidP="00A30142">
      <w:r>
        <w:t>Supplementary Figure S1. Table of Taxa</w:t>
      </w:r>
    </w:p>
    <w:p w14:paraId="4A7BC149" w14:textId="77777777" w:rsidR="00A30142" w:rsidRDefault="00A30142" w:rsidP="00A30142">
      <w:r>
        <w:t xml:space="preserve">Supplementary Figure S2. The 105 topologies from </w:t>
      </w:r>
      <w:proofErr w:type="spellStart"/>
      <w:r>
        <w:t>Twisst</w:t>
      </w:r>
      <w:proofErr w:type="spellEnd"/>
      <w:r>
        <w:t xml:space="preserve"> comparison with Peruvian hybrid zone taxa (Fig 2B; Fig 3B; Fig 4B; Fig 5B; Fig 6B). Red rings show introgression topologies with optix and cortex phenotypes (1,4,9,12,13) while black rings show introgression topologies for the WntA phenotype (1,13,16,28,76).</w:t>
      </w:r>
    </w:p>
    <w:p w14:paraId="08B2EE41" w14:textId="77777777" w:rsidR="00A30142" w:rsidRDefault="00A30142" w:rsidP="00A30142">
      <w:r>
        <w:t xml:space="preserve">Supplementary Figure S3. The 105 topologies from </w:t>
      </w:r>
      <w:proofErr w:type="spellStart"/>
      <w:r>
        <w:t>Twisst</w:t>
      </w:r>
      <w:proofErr w:type="spellEnd"/>
      <w:r>
        <w:t xml:space="preserve"> comparison with </w:t>
      </w:r>
      <w:r w:rsidRPr="008638B0">
        <w:rPr>
          <w:i/>
        </w:rPr>
        <w:t xml:space="preserve">H. e. </w:t>
      </w:r>
      <w:r>
        <w:rPr>
          <w:i/>
        </w:rPr>
        <w:t>tumatumari</w:t>
      </w:r>
      <w:r>
        <w:t xml:space="preserve"> and </w:t>
      </w:r>
      <w:r w:rsidRPr="008638B0">
        <w:rPr>
          <w:i/>
        </w:rPr>
        <w:t xml:space="preserve">H. </w:t>
      </w:r>
      <w:r>
        <w:rPr>
          <w:i/>
        </w:rPr>
        <w:t>m</w:t>
      </w:r>
      <w:r w:rsidRPr="008638B0">
        <w:rPr>
          <w:i/>
        </w:rPr>
        <w:t xml:space="preserve">. </w:t>
      </w:r>
      <w:r>
        <w:rPr>
          <w:i/>
        </w:rPr>
        <w:t xml:space="preserve">meriana </w:t>
      </w:r>
      <w:r>
        <w:t>from the Guianese hybrid zone taxa (Fig 2D). Red rings show introgression topologies with optix and cortex phenotypes.</w:t>
      </w:r>
    </w:p>
    <w:p w14:paraId="536AFA32" w14:textId="77777777" w:rsidR="00A30142" w:rsidRDefault="00A30142" w:rsidP="00A30142">
      <w:r>
        <w:t xml:space="preserve">Supplementary Figure S4. The 105 topologies from </w:t>
      </w:r>
      <w:proofErr w:type="spellStart"/>
      <w:r>
        <w:t>Twisst</w:t>
      </w:r>
      <w:proofErr w:type="spellEnd"/>
      <w:r>
        <w:t xml:space="preserve"> comparison with </w:t>
      </w:r>
      <w:r w:rsidRPr="008638B0">
        <w:rPr>
          <w:i/>
        </w:rPr>
        <w:t>H. e. bari</w:t>
      </w:r>
      <w:r>
        <w:t xml:space="preserve"> and </w:t>
      </w:r>
      <w:r w:rsidRPr="008B72A0">
        <w:rPr>
          <w:i/>
        </w:rPr>
        <w:t>H. e. tumatumari</w:t>
      </w:r>
      <w:r>
        <w:t xml:space="preserve"> together and </w:t>
      </w:r>
      <w:r w:rsidRPr="008638B0">
        <w:rPr>
          <w:i/>
        </w:rPr>
        <w:t xml:space="preserve">H. </w:t>
      </w:r>
      <w:r>
        <w:rPr>
          <w:i/>
        </w:rPr>
        <w:t>m</w:t>
      </w:r>
      <w:r w:rsidRPr="008638B0">
        <w:rPr>
          <w:i/>
        </w:rPr>
        <w:t xml:space="preserve">. </w:t>
      </w:r>
      <w:proofErr w:type="spellStart"/>
      <w:r w:rsidRPr="008638B0">
        <w:rPr>
          <w:i/>
        </w:rPr>
        <w:t>thelxiope</w:t>
      </w:r>
      <w:proofErr w:type="spellEnd"/>
      <w:r>
        <w:t xml:space="preserve"> and </w:t>
      </w:r>
      <w:r w:rsidRPr="008B72A0">
        <w:rPr>
          <w:i/>
        </w:rPr>
        <w:t>H. m. meriana</w:t>
      </w:r>
      <w:r>
        <w:t xml:space="preserve"> together from the Guianese hybrid zone taxa (Fig 3C; Fig S10). Red/black rings show introgression topologies for optix, cortex and </w:t>
      </w:r>
      <w:r w:rsidRPr="00132574">
        <w:rPr>
          <w:i/>
        </w:rPr>
        <w:t>WntA</w:t>
      </w:r>
      <w:r>
        <w:t xml:space="preserve"> phenotypes.</w:t>
      </w:r>
    </w:p>
    <w:p w14:paraId="4A0D2E0D" w14:textId="77777777" w:rsidR="00A30142" w:rsidRDefault="00A30142" w:rsidP="00A30142">
      <w:r>
        <w:t xml:space="preserve">Supplementary Figure S5. The 105 topologies from </w:t>
      </w:r>
      <w:proofErr w:type="spellStart"/>
      <w:r>
        <w:t>Twisst</w:t>
      </w:r>
      <w:proofErr w:type="spellEnd"/>
      <w:r>
        <w:t xml:space="preserve"> comparison with </w:t>
      </w:r>
      <w:r w:rsidRPr="008638B0">
        <w:rPr>
          <w:i/>
        </w:rPr>
        <w:t xml:space="preserve">H. </w:t>
      </w:r>
      <w:r>
        <w:rPr>
          <w:i/>
        </w:rPr>
        <w:t>besckei</w:t>
      </w:r>
      <w:r>
        <w:t xml:space="preserve"> and </w:t>
      </w:r>
      <w:r w:rsidRPr="008638B0">
        <w:rPr>
          <w:i/>
        </w:rPr>
        <w:t xml:space="preserve">H. </w:t>
      </w:r>
      <w:r>
        <w:rPr>
          <w:i/>
        </w:rPr>
        <w:t>m</w:t>
      </w:r>
      <w:r w:rsidRPr="008638B0">
        <w:rPr>
          <w:i/>
        </w:rPr>
        <w:t xml:space="preserve">. </w:t>
      </w:r>
      <w:proofErr w:type="spellStart"/>
      <w:r w:rsidRPr="008638B0">
        <w:rPr>
          <w:i/>
        </w:rPr>
        <w:t>thelxiope</w:t>
      </w:r>
      <w:proofErr w:type="spellEnd"/>
      <w:r>
        <w:t xml:space="preserve"> from the Guianese hybrid zone taxa (Fig 2C; Fig 4C). Red rings show introgression topologies with optix and cortex phenotypes.</w:t>
      </w:r>
    </w:p>
    <w:p w14:paraId="76AC730C" w14:textId="77777777" w:rsidR="00A30142" w:rsidRPr="00C82B98" w:rsidRDefault="00A30142" w:rsidP="00A30142">
      <w:r>
        <w:t xml:space="preserve">Supplementary Figure S6. The 105 topologies from </w:t>
      </w:r>
      <w:proofErr w:type="spellStart"/>
      <w:r>
        <w:t>Twisst</w:t>
      </w:r>
      <w:proofErr w:type="spellEnd"/>
      <w:r>
        <w:t xml:space="preserve"> comparison with </w:t>
      </w:r>
      <w:r w:rsidRPr="008638B0">
        <w:rPr>
          <w:i/>
        </w:rPr>
        <w:t xml:space="preserve">H. </w:t>
      </w:r>
      <w:r>
        <w:rPr>
          <w:i/>
        </w:rPr>
        <w:t>besckei</w:t>
      </w:r>
      <w:r>
        <w:t xml:space="preserve"> and </w:t>
      </w:r>
      <w:r w:rsidRPr="008638B0">
        <w:rPr>
          <w:i/>
        </w:rPr>
        <w:t xml:space="preserve">H. </w:t>
      </w:r>
      <w:r>
        <w:rPr>
          <w:i/>
        </w:rPr>
        <w:t>m</w:t>
      </w:r>
      <w:r w:rsidRPr="008638B0">
        <w:rPr>
          <w:i/>
        </w:rPr>
        <w:t xml:space="preserve">. </w:t>
      </w:r>
      <w:proofErr w:type="spellStart"/>
      <w:r w:rsidRPr="008638B0">
        <w:rPr>
          <w:i/>
        </w:rPr>
        <w:t>thelxiope</w:t>
      </w:r>
      <w:proofErr w:type="spellEnd"/>
      <w:r>
        <w:t xml:space="preserve"> and </w:t>
      </w:r>
      <w:r w:rsidRPr="00AC155A">
        <w:rPr>
          <w:i/>
        </w:rPr>
        <w:t>H m. meriana</w:t>
      </w:r>
      <w:r>
        <w:t xml:space="preserve"> from the Guianese hybrid zone taxa (Fig 6C). Red rings show introgression topologies with optix and cortex phenotype.</w:t>
      </w:r>
    </w:p>
    <w:p w14:paraId="50C69AC1" w14:textId="77777777" w:rsidR="00A30142" w:rsidRDefault="00A30142" w:rsidP="00A30142">
      <w:r>
        <w:t xml:space="preserve">Supplementary table S7. Table showing taxa used, and phenotypes tested in each </w:t>
      </w:r>
      <w:proofErr w:type="spellStart"/>
      <w:r>
        <w:t>Twisst</w:t>
      </w:r>
      <w:proofErr w:type="spellEnd"/>
      <w:r>
        <w:t xml:space="preserve"> comparison.</w:t>
      </w:r>
    </w:p>
    <w:p w14:paraId="6E2BC0A4" w14:textId="77777777" w:rsidR="00A30142" w:rsidRDefault="00A30142" w:rsidP="00A30142">
      <w:r>
        <w:t>Supplementary table S8. Table showing taxa in each phenotype group for each ‘diagnostically fixed’ analysis.</w:t>
      </w:r>
    </w:p>
    <w:p w14:paraId="1F8A4E50" w14:textId="77777777" w:rsidR="00A30142" w:rsidRDefault="00A30142" w:rsidP="00A30142">
      <w:r>
        <w:t>Supplementary Figure S9</w:t>
      </w:r>
      <w:r w:rsidRPr="00853449">
        <w:t xml:space="preserve"> - </w:t>
      </w:r>
      <w:proofErr w:type="spellStart"/>
      <w:r>
        <w:t>Twisst</w:t>
      </w:r>
      <w:proofErr w:type="spellEnd"/>
      <w:r w:rsidRPr="00853449">
        <w:t xml:space="preserve"> comparison </w:t>
      </w:r>
      <w:r>
        <w:t>with Peruvian hybrid zone</w:t>
      </w:r>
      <w:r w:rsidRPr="00853449">
        <w:t xml:space="preserve"> </w:t>
      </w:r>
      <w:r>
        <w:t xml:space="preserve">taxa </w:t>
      </w:r>
      <w:r w:rsidRPr="00853449">
        <w:t xml:space="preserve">across all of </w:t>
      </w:r>
      <w:r>
        <w:t>chromosome 18</w:t>
      </w:r>
      <w:r w:rsidRPr="00853449">
        <w:t xml:space="preserve">. Shading shows putative regulatory </w:t>
      </w:r>
      <w:r>
        <w:t>element</w:t>
      </w:r>
      <w:r w:rsidRPr="00853449">
        <w:t>s</w:t>
      </w:r>
      <w:r>
        <w:t xml:space="preserve"> as determined in main manuscript Fig 2</w:t>
      </w:r>
      <w:r w:rsidRPr="00853449">
        <w:t>.</w:t>
      </w:r>
      <w:r>
        <w:t xml:space="preserve"> Red circle highlights the peak at </w:t>
      </w:r>
      <w:r w:rsidRPr="00A029DF">
        <w:t>Hmel218005</w:t>
      </w:r>
      <w:r>
        <w:t>:</w:t>
      </w:r>
      <w:r w:rsidRPr="00A029DF">
        <w:t>227000</w:t>
      </w:r>
      <w:r>
        <w:t>.</w:t>
      </w:r>
    </w:p>
    <w:p w14:paraId="17EB1AEC" w14:textId="77777777" w:rsidR="00A30142" w:rsidRDefault="00A30142" w:rsidP="00A30142">
      <w:r>
        <w:t>Supplementary Figure S10</w:t>
      </w:r>
      <w:r w:rsidRPr="00853449">
        <w:t xml:space="preserve"> - </w:t>
      </w:r>
      <w:proofErr w:type="spellStart"/>
      <w:r>
        <w:t>Twisst</w:t>
      </w:r>
      <w:proofErr w:type="spellEnd"/>
      <w:r w:rsidRPr="00853449">
        <w:t xml:space="preserve"> comparison</w:t>
      </w:r>
      <w:r>
        <w:t xml:space="preserve"> with Guianese hybrid zone taxa (</w:t>
      </w:r>
      <w:r w:rsidRPr="00346DAA">
        <w:rPr>
          <w:i/>
        </w:rPr>
        <w:t xml:space="preserve">H. </w:t>
      </w:r>
      <w:r>
        <w:rPr>
          <w:i/>
        </w:rPr>
        <w:t>e. tumatumari</w:t>
      </w:r>
      <w:r>
        <w:t xml:space="preserve"> and </w:t>
      </w:r>
      <w:r w:rsidRPr="00346DAA">
        <w:rPr>
          <w:i/>
        </w:rPr>
        <w:t xml:space="preserve">H. m. </w:t>
      </w:r>
      <w:r>
        <w:rPr>
          <w:i/>
        </w:rPr>
        <w:t>meriana</w:t>
      </w:r>
      <w:r>
        <w:t>)</w:t>
      </w:r>
      <w:r w:rsidRPr="00853449">
        <w:t xml:space="preserve"> across all of </w:t>
      </w:r>
      <w:r>
        <w:t xml:space="preserve">chromosome 18. </w:t>
      </w:r>
      <w:r w:rsidRPr="00853449">
        <w:t xml:space="preserve">Shading shows putative regulatory </w:t>
      </w:r>
      <w:r>
        <w:t>element</w:t>
      </w:r>
      <w:r w:rsidRPr="00853449">
        <w:t>s</w:t>
      </w:r>
      <w:r>
        <w:t xml:space="preserve"> as determined in main manuscript Fig 2</w:t>
      </w:r>
      <w:r w:rsidRPr="00853449">
        <w:t>.</w:t>
      </w:r>
      <w:r>
        <w:t xml:space="preserve"> Red circle highlights the peak at </w:t>
      </w:r>
      <w:r w:rsidRPr="00A029DF">
        <w:t>Hmel218005</w:t>
      </w:r>
      <w:r>
        <w:t>:</w:t>
      </w:r>
      <w:r w:rsidRPr="00A029DF">
        <w:t>227000</w:t>
      </w:r>
      <w:r>
        <w:t>.</w:t>
      </w:r>
    </w:p>
    <w:p w14:paraId="31748AA1" w14:textId="77777777" w:rsidR="00A30142" w:rsidRDefault="00A30142" w:rsidP="00A30142">
      <w:r>
        <w:t>Supplementary Figure S11</w:t>
      </w:r>
      <w:r w:rsidRPr="00853449">
        <w:t xml:space="preserve"> - </w:t>
      </w:r>
      <w:proofErr w:type="spellStart"/>
      <w:r>
        <w:t>Twisst</w:t>
      </w:r>
      <w:proofErr w:type="spellEnd"/>
      <w:r w:rsidRPr="00853449">
        <w:t xml:space="preserve"> comparison </w:t>
      </w:r>
      <w:r>
        <w:t xml:space="preserve">with </w:t>
      </w:r>
      <w:r w:rsidRPr="00346DAA">
        <w:rPr>
          <w:i/>
        </w:rPr>
        <w:t>H. besckei</w:t>
      </w:r>
      <w:r>
        <w:t xml:space="preserve"> and Guianese hybrid zone taxa </w:t>
      </w:r>
      <w:r w:rsidRPr="00853449">
        <w:t xml:space="preserve">across all of </w:t>
      </w:r>
      <w:r>
        <w:t>chromosome 18</w:t>
      </w:r>
      <w:r w:rsidRPr="00853449">
        <w:t xml:space="preserve">. Shading shows putative regulatory </w:t>
      </w:r>
      <w:r>
        <w:t>element</w:t>
      </w:r>
      <w:r w:rsidRPr="00853449">
        <w:t>s</w:t>
      </w:r>
      <w:r>
        <w:t xml:space="preserve"> as determined in main manuscript Fig 2</w:t>
      </w:r>
      <w:r w:rsidRPr="00853449">
        <w:t>.</w:t>
      </w:r>
      <w:r>
        <w:t xml:space="preserve"> Red circle highlights the peak at </w:t>
      </w:r>
      <w:r w:rsidRPr="00A029DF">
        <w:t>Hmel218005</w:t>
      </w:r>
      <w:r>
        <w:t>:</w:t>
      </w:r>
      <w:r w:rsidRPr="00A029DF">
        <w:t>227000</w:t>
      </w:r>
      <w:r>
        <w:t>.</w:t>
      </w:r>
    </w:p>
    <w:p w14:paraId="5EF7137C" w14:textId="77777777" w:rsidR="00A30142" w:rsidRDefault="00A30142" w:rsidP="00A30142">
      <w:pPr>
        <w:rPr>
          <w:noProof/>
        </w:rPr>
      </w:pPr>
      <w:r>
        <w:lastRenderedPageBreak/>
        <w:t>Supplementary Figure S12</w:t>
      </w:r>
      <w:r w:rsidRPr="00853449">
        <w:t xml:space="preserve"> - </w:t>
      </w:r>
      <w:proofErr w:type="spellStart"/>
      <w:r>
        <w:t>Twisst</w:t>
      </w:r>
      <w:proofErr w:type="spellEnd"/>
      <w:r w:rsidRPr="00853449">
        <w:t xml:space="preserve"> comparison </w:t>
      </w:r>
      <w:r>
        <w:t>with Peruvian hybrid zone</w:t>
      </w:r>
      <w:r w:rsidRPr="00853449">
        <w:t xml:space="preserve"> </w:t>
      </w:r>
      <w:r>
        <w:t xml:space="preserve">taxa </w:t>
      </w:r>
      <w:r w:rsidRPr="00853449">
        <w:t xml:space="preserve">across all of </w:t>
      </w:r>
      <w:r>
        <w:t>chromosome 10</w:t>
      </w:r>
      <w:r w:rsidRPr="00853449">
        <w:t xml:space="preserve">. Shading shows putative regulatory </w:t>
      </w:r>
      <w:r>
        <w:t>element</w:t>
      </w:r>
      <w:r w:rsidRPr="00853449">
        <w:t>s</w:t>
      </w:r>
      <w:r>
        <w:t xml:space="preserve"> as determined in main manuscript Fig 5</w:t>
      </w:r>
      <w:r w:rsidRPr="00853449">
        <w:t>.</w:t>
      </w:r>
      <w:r w:rsidRPr="00EA5B0E">
        <w:rPr>
          <w:noProof/>
        </w:rPr>
        <w:t xml:space="preserve"> </w:t>
      </w:r>
    </w:p>
    <w:p w14:paraId="47B36373" w14:textId="77777777" w:rsidR="00A30142" w:rsidRDefault="00A30142" w:rsidP="00A30142">
      <w:r>
        <w:t>Supplementary Figure S13</w:t>
      </w:r>
      <w:r w:rsidRPr="00853449">
        <w:t xml:space="preserve"> - </w:t>
      </w:r>
      <w:proofErr w:type="spellStart"/>
      <w:r>
        <w:t>Twisst</w:t>
      </w:r>
      <w:proofErr w:type="spellEnd"/>
      <w:r w:rsidRPr="00853449">
        <w:t xml:space="preserve"> comparison </w:t>
      </w:r>
      <w:r>
        <w:t xml:space="preserve">with Peruvian hybrid zone taxa </w:t>
      </w:r>
      <w:r w:rsidRPr="00853449">
        <w:t xml:space="preserve">across all of </w:t>
      </w:r>
      <w:r>
        <w:t>chromosome 15</w:t>
      </w:r>
      <w:r w:rsidRPr="00853449">
        <w:t xml:space="preserve">. Shading shows putative regulatory </w:t>
      </w:r>
      <w:r>
        <w:t>element</w:t>
      </w:r>
      <w:r w:rsidRPr="00853449">
        <w:t>s</w:t>
      </w:r>
      <w:r>
        <w:t xml:space="preserve"> as determined in main manuscript Fig 6</w:t>
      </w:r>
      <w:r w:rsidRPr="00853449">
        <w:t>.</w:t>
      </w:r>
    </w:p>
    <w:p w14:paraId="47FAFFBB" w14:textId="77777777" w:rsidR="00A30142" w:rsidRDefault="00A30142" w:rsidP="00A30142">
      <w:r>
        <w:t xml:space="preserve">Supplementary Figure S14 </w:t>
      </w:r>
      <w:r w:rsidRPr="00853449">
        <w:t xml:space="preserve">- </w:t>
      </w:r>
      <w:proofErr w:type="spellStart"/>
      <w:r>
        <w:t>Twisst</w:t>
      </w:r>
      <w:proofErr w:type="spellEnd"/>
      <w:r w:rsidRPr="00853449">
        <w:t xml:space="preserve"> comparison</w:t>
      </w:r>
      <w:r>
        <w:t xml:space="preserve"> with Guianese hybrid zone taxa (</w:t>
      </w:r>
      <w:r w:rsidRPr="00346DAA">
        <w:rPr>
          <w:i/>
        </w:rPr>
        <w:t xml:space="preserve">H. </w:t>
      </w:r>
      <w:r>
        <w:rPr>
          <w:i/>
        </w:rPr>
        <w:t>e. tumatumari</w:t>
      </w:r>
      <w:r>
        <w:t xml:space="preserve"> together with </w:t>
      </w:r>
      <w:r w:rsidRPr="00C1420D">
        <w:rPr>
          <w:i/>
        </w:rPr>
        <w:t>H. m. bari</w:t>
      </w:r>
      <w:r>
        <w:t xml:space="preserve"> and </w:t>
      </w:r>
      <w:r w:rsidRPr="00346DAA">
        <w:rPr>
          <w:i/>
        </w:rPr>
        <w:t xml:space="preserve">H. m. </w:t>
      </w:r>
      <w:r>
        <w:rPr>
          <w:i/>
        </w:rPr>
        <w:t xml:space="preserve">meriana </w:t>
      </w:r>
      <w:r w:rsidRPr="00C1420D">
        <w:t>together with</w:t>
      </w:r>
      <w:r>
        <w:rPr>
          <w:i/>
        </w:rPr>
        <w:t xml:space="preserve"> H. m. </w:t>
      </w:r>
      <w:proofErr w:type="spellStart"/>
      <w:r>
        <w:rPr>
          <w:i/>
        </w:rPr>
        <w:t>thelxiope</w:t>
      </w:r>
      <w:proofErr w:type="spellEnd"/>
      <w:r>
        <w:t>)</w:t>
      </w:r>
      <w:r w:rsidRPr="00853449">
        <w:t xml:space="preserve"> across all of </w:t>
      </w:r>
      <w:r>
        <w:t>chromosome 15</w:t>
      </w:r>
      <w:r w:rsidRPr="00853449">
        <w:t xml:space="preserve">. Shading shows putative regulatory </w:t>
      </w:r>
      <w:r>
        <w:t>element</w:t>
      </w:r>
      <w:r w:rsidRPr="00853449">
        <w:t>s</w:t>
      </w:r>
      <w:r>
        <w:t xml:space="preserve"> as determined in main manuscript Fig 6</w:t>
      </w:r>
      <w:r w:rsidRPr="00853449">
        <w:t>.</w:t>
      </w:r>
    </w:p>
    <w:p w14:paraId="03317152" w14:textId="77777777" w:rsidR="00A30142" w:rsidRDefault="00A30142" w:rsidP="00A30142">
      <w:r>
        <w:t>Supplementary Figure S15</w:t>
      </w:r>
      <w:r w:rsidRPr="00853449">
        <w:t xml:space="preserve"> - </w:t>
      </w:r>
      <w:proofErr w:type="spellStart"/>
      <w:r>
        <w:t>Twisst</w:t>
      </w:r>
      <w:proofErr w:type="spellEnd"/>
      <w:r w:rsidRPr="00853449">
        <w:t xml:space="preserve"> comparison </w:t>
      </w:r>
      <w:r>
        <w:t xml:space="preserve">with </w:t>
      </w:r>
      <w:r w:rsidRPr="0001250A">
        <w:rPr>
          <w:i/>
        </w:rPr>
        <w:t>H. besckei</w:t>
      </w:r>
      <w:r>
        <w:t xml:space="preserve"> and Guianese hybrid zone taxa (</w:t>
      </w:r>
      <w:r w:rsidRPr="00346DAA">
        <w:rPr>
          <w:i/>
        </w:rPr>
        <w:t xml:space="preserve">H. </w:t>
      </w:r>
      <w:r>
        <w:rPr>
          <w:i/>
        </w:rPr>
        <w:t>e. tumatumari</w:t>
      </w:r>
      <w:r>
        <w:t xml:space="preserve"> together with </w:t>
      </w:r>
      <w:r w:rsidRPr="00C1420D">
        <w:rPr>
          <w:i/>
        </w:rPr>
        <w:t>H. m. bari</w:t>
      </w:r>
      <w:r>
        <w:t xml:space="preserve"> and </w:t>
      </w:r>
      <w:r w:rsidRPr="00346DAA">
        <w:rPr>
          <w:i/>
        </w:rPr>
        <w:t xml:space="preserve">H. m. </w:t>
      </w:r>
      <w:r>
        <w:rPr>
          <w:i/>
        </w:rPr>
        <w:t xml:space="preserve">meriana </w:t>
      </w:r>
      <w:r w:rsidRPr="00C1420D">
        <w:t>together with</w:t>
      </w:r>
      <w:r>
        <w:rPr>
          <w:i/>
        </w:rPr>
        <w:t xml:space="preserve"> H. m. </w:t>
      </w:r>
      <w:proofErr w:type="spellStart"/>
      <w:r>
        <w:rPr>
          <w:i/>
        </w:rPr>
        <w:t>thelxiope</w:t>
      </w:r>
      <w:proofErr w:type="spellEnd"/>
      <w:r>
        <w:t>)</w:t>
      </w:r>
      <w:r w:rsidRPr="00853449">
        <w:t xml:space="preserve"> across all of </w:t>
      </w:r>
      <w:r>
        <w:t>chromosome 15</w:t>
      </w:r>
      <w:r w:rsidRPr="00853449">
        <w:t xml:space="preserve">. Shading shows putative regulatory </w:t>
      </w:r>
      <w:r>
        <w:t>element</w:t>
      </w:r>
      <w:r w:rsidRPr="00853449">
        <w:t>s</w:t>
      </w:r>
      <w:r>
        <w:t xml:space="preserve"> as determined in main manuscript Fig 6.</w:t>
      </w:r>
    </w:p>
    <w:p w14:paraId="1AD4F5BD" w14:textId="77777777" w:rsidR="00A30142" w:rsidRDefault="00A30142" w:rsidP="00A30142">
      <w:r>
        <w:t>Supplementary Figure S16</w:t>
      </w:r>
      <w:r w:rsidRPr="00853449">
        <w:t xml:space="preserve"> </w:t>
      </w:r>
      <w:r>
        <w:t>– Species tree from all SNPs across chromosomes 10, 15 and 18 which contain the WntA, cortex and optix colour pattern loci. Bootstrap supports indicated on nodes, green diamond ≥ 75%, pink diamond ≥ 95%.</w:t>
      </w:r>
    </w:p>
    <w:p w14:paraId="76E407CF" w14:textId="77777777" w:rsidR="00A30142" w:rsidRDefault="00A30142" w:rsidP="00A30142">
      <w:r>
        <w:t>Supplementary Figure S17</w:t>
      </w:r>
      <w:r w:rsidRPr="00853449">
        <w:t xml:space="preserve"> - </w:t>
      </w:r>
      <w:r>
        <w:t xml:space="preserve">Paired phylogenetic </w:t>
      </w:r>
      <w:proofErr w:type="spellStart"/>
      <w:r w:rsidRPr="006F55D1">
        <w:t>Twisst</w:t>
      </w:r>
      <w:proofErr w:type="spellEnd"/>
      <w:r>
        <w:t xml:space="preserve"> comparison across the </w:t>
      </w:r>
      <w:r>
        <w:rPr>
          <w:i/>
        </w:rPr>
        <w:t xml:space="preserve">WntA </w:t>
      </w:r>
      <w:r>
        <w:t>region of scaffold Hmel210004.</w:t>
      </w:r>
      <w:r w:rsidRPr="00C513F2">
        <w:t xml:space="preserve"> </w:t>
      </w:r>
      <w:r>
        <w:t>A)</w:t>
      </w:r>
      <w:r w:rsidRPr="00FE1365">
        <w:t xml:space="preserve"> </w:t>
      </w:r>
      <w:proofErr w:type="spellStart"/>
      <w:r w:rsidRPr="00CB4E15">
        <w:t>Twisst</w:t>
      </w:r>
      <w:proofErr w:type="spellEnd"/>
      <w:r w:rsidRPr="00CB4E15">
        <w:t xml:space="preserve"> comparison with </w:t>
      </w:r>
      <w:r>
        <w:t xml:space="preserve">Guianese </w:t>
      </w:r>
      <w:r w:rsidRPr="00CB4E15">
        <w:t>hybrid zone taxa</w:t>
      </w:r>
      <w:r>
        <w:t>.</w:t>
      </w:r>
      <w:r w:rsidRPr="00CB4E15">
        <w:t xml:space="preserve"> </w:t>
      </w:r>
      <w:r>
        <w:t xml:space="preserve">Note that there is no evidence of shared ancestry between </w:t>
      </w:r>
      <w:r w:rsidRPr="0038086C">
        <w:rPr>
          <w:i/>
          <w:iCs/>
        </w:rPr>
        <w:t>H. elevatus</w:t>
      </w:r>
      <w:r>
        <w:t xml:space="preserve"> and </w:t>
      </w:r>
      <w:r w:rsidRPr="0038086C">
        <w:rPr>
          <w:i/>
          <w:iCs/>
        </w:rPr>
        <w:t>H. melpomene</w:t>
      </w:r>
      <w:r>
        <w:t xml:space="preserve"> mimics indicating independent evolution of the broken band phenotype in these taxa leaving us unable to identify regulatory elements around </w:t>
      </w:r>
      <w:r w:rsidRPr="0038086C">
        <w:rPr>
          <w:i/>
          <w:iCs/>
        </w:rPr>
        <w:t>WntA</w:t>
      </w:r>
      <w:r>
        <w:t xml:space="preserve"> controlling this broken band phenotype.</w:t>
      </w:r>
    </w:p>
    <w:p w14:paraId="250C913A" w14:textId="77777777" w:rsidR="00A30142" w:rsidRDefault="00A30142" w:rsidP="00A30142">
      <w:r>
        <w:t>Supplementary Figure S18</w:t>
      </w:r>
      <w:r w:rsidRPr="00853449">
        <w:t xml:space="preserve"> - </w:t>
      </w:r>
      <w:r>
        <w:t xml:space="preserve">Sequence conservation at wing patterning loci. Pairwise conservation between </w:t>
      </w:r>
      <w:r>
        <w:rPr>
          <w:i/>
        </w:rPr>
        <w:t>H. melpomene</w:t>
      </w:r>
      <w:r>
        <w:t xml:space="preserve"> and other Lepidopteran species </w:t>
      </w:r>
      <w:r>
        <w:rPr>
          <w:i/>
        </w:rPr>
        <w:t xml:space="preserve">H. erato </w:t>
      </w:r>
      <w:proofErr w:type="spellStart"/>
      <w:r>
        <w:rPr>
          <w:i/>
        </w:rPr>
        <w:t>demophoon</w:t>
      </w:r>
      <w:proofErr w:type="spellEnd"/>
      <w:r>
        <w:rPr>
          <w:i/>
        </w:rPr>
        <w:t xml:space="preserve">, </w:t>
      </w:r>
      <w:proofErr w:type="spellStart"/>
      <w:r w:rsidRPr="00C71F1A">
        <w:rPr>
          <w:i/>
        </w:rPr>
        <w:t>J</w:t>
      </w:r>
      <w:r>
        <w:rPr>
          <w:i/>
        </w:rPr>
        <w:t>unonia</w:t>
      </w:r>
      <w:proofErr w:type="spellEnd"/>
      <w:r w:rsidRPr="00C71F1A">
        <w:rPr>
          <w:i/>
        </w:rPr>
        <w:t xml:space="preserve"> </w:t>
      </w:r>
      <w:proofErr w:type="spellStart"/>
      <w:r w:rsidRPr="00C71F1A">
        <w:rPr>
          <w:i/>
        </w:rPr>
        <w:t>coenia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Bicyclus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anynana</w:t>
      </w:r>
      <w:proofErr w:type="spellEnd"/>
      <w:r>
        <w:rPr>
          <w:i/>
        </w:rPr>
        <w:t xml:space="preserve">, Danaus </w:t>
      </w:r>
      <w:proofErr w:type="spellStart"/>
      <w:r>
        <w:rPr>
          <w:i/>
        </w:rPr>
        <w:t>plexippus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Papilio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machoan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Papilio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polytes</w:t>
      </w:r>
      <w:proofErr w:type="spellEnd"/>
      <w:r>
        <w:rPr>
          <w:i/>
        </w:rPr>
        <w:t xml:space="preserve">, Pieris </w:t>
      </w:r>
      <w:proofErr w:type="spellStart"/>
      <w:r>
        <w:rPr>
          <w:i/>
        </w:rPr>
        <w:t>napi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Amyelois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transitella</w:t>
      </w:r>
      <w:proofErr w:type="spellEnd"/>
      <w:r>
        <w:rPr>
          <w:i/>
        </w:rPr>
        <w:t xml:space="preserve">, </w:t>
      </w:r>
      <w:r>
        <w:t xml:space="preserve">and </w:t>
      </w:r>
      <w:r>
        <w:rPr>
          <w:i/>
        </w:rPr>
        <w:t>Bombyx mori are</w:t>
      </w:r>
      <w:r>
        <w:t xml:space="preserve"> plotted below, with regions over 70% identity shaded pink, exons shaded purple and regions corresponding to pattern elements shaded blue. A </w:t>
      </w:r>
      <w:proofErr w:type="gramStart"/>
      <w:r>
        <w:t>shows</w:t>
      </w:r>
      <w:proofErr w:type="gramEnd"/>
      <w:r>
        <w:t xml:space="preserve"> the optix locus, with the dennis elements in orange, </w:t>
      </w:r>
      <w:r>
        <w:rPr>
          <w:i/>
        </w:rPr>
        <w:t>Ray</w:t>
      </w:r>
      <w:r>
        <w:t xml:space="preserve"> elements in blue and </w:t>
      </w:r>
      <w:r>
        <w:rPr>
          <w:i/>
        </w:rPr>
        <w:t>Band</w:t>
      </w:r>
      <w:r>
        <w:t xml:space="preserve"> elements in green. B shows the </w:t>
      </w:r>
      <w:r>
        <w:rPr>
          <w:i/>
        </w:rPr>
        <w:t>WntA</w:t>
      </w:r>
      <w:r>
        <w:t xml:space="preserve"> locus. The blue regions labelled 1 and 2 indicate the two elements identified herein. C shows the </w:t>
      </w:r>
      <w:r>
        <w:rPr>
          <w:i/>
        </w:rPr>
        <w:t>Cortex</w:t>
      </w:r>
      <w:r>
        <w:t xml:space="preserve"> locus, with the two identified elements A and B in purple and red.</w:t>
      </w:r>
    </w:p>
    <w:p w14:paraId="6E2C2FD1" w14:textId="77777777" w:rsidR="00A30142" w:rsidRDefault="00A30142" w:rsidP="00A30142">
      <w:r>
        <w:t>Supplementary Table S19. Scaffold names and locations identified by blast in Fig. S11 across Lepidoptera species.</w:t>
      </w:r>
    </w:p>
    <w:p w14:paraId="30334549" w14:textId="77777777" w:rsidR="00A30142" w:rsidRPr="00C77006" w:rsidRDefault="00A30142" w:rsidP="00A30142">
      <w:r>
        <w:t xml:space="preserve">Supplementary Table S20. Table showing ACT-BLAST hits for each of our defined module in </w:t>
      </w:r>
      <w:r w:rsidRPr="00C77006">
        <w:rPr>
          <w:i/>
          <w:iCs/>
        </w:rPr>
        <w:t>H. melpomene</w:t>
      </w:r>
      <w:r>
        <w:t xml:space="preserve"> and the corresponding positions in the </w:t>
      </w:r>
      <w:r w:rsidRPr="00C77006">
        <w:rPr>
          <w:i/>
          <w:iCs/>
        </w:rPr>
        <w:t xml:space="preserve">H. erato </w:t>
      </w:r>
      <w:proofErr w:type="spellStart"/>
      <w:r w:rsidRPr="00C77006">
        <w:rPr>
          <w:i/>
          <w:iCs/>
        </w:rPr>
        <w:t>dem</w:t>
      </w:r>
      <w:r>
        <w:rPr>
          <w:i/>
          <w:iCs/>
        </w:rPr>
        <w:t>o</w:t>
      </w:r>
      <w:r w:rsidRPr="00C77006">
        <w:rPr>
          <w:i/>
          <w:iCs/>
        </w:rPr>
        <w:t>phoon</w:t>
      </w:r>
      <w:proofErr w:type="spellEnd"/>
      <w:r>
        <w:rPr>
          <w:i/>
          <w:iCs/>
        </w:rPr>
        <w:t xml:space="preserve"> </w:t>
      </w:r>
      <w:r>
        <w:t>genome.</w:t>
      </w:r>
    </w:p>
    <w:p w14:paraId="2264FFFF" w14:textId="77777777" w:rsidR="009A6A52" w:rsidRDefault="009A6A52"/>
    <w:sectPr w:rsidR="009A6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42"/>
    <w:rsid w:val="00164721"/>
    <w:rsid w:val="009A6A52"/>
    <w:rsid w:val="00A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6766"/>
  <w15:chartTrackingRefBased/>
  <w15:docId w15:val="{0358FBF4-5388-479E-8137-7DEF75C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42"/>
    <w:pPr>
      <w:suppressAutoHyphens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4721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721"/>
    <w:rPr>
      <w:rFonts w:asciiTheme="majorHAnsi" w:eastAsiaTheme="majorEastAsia" w:hAnsiTheme="majorHAnsi" w:cstheme="majorBidi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Jake</dc:creator>
  <cp:keywords/>
  <dc:description/>
  <cp:lastModifiedBy>Morris, Jake</cp:lastModifiedBy>
  <cp:revision>1</cp:revision>
  <dcterms:created xsi:type="dcterms:W3CDTF">2020-09-02T21:34:00Z</dcterms:created>
  <dcterms:modified xsi:type="dcterms:W3CDTF">2020-09-02T21:35:00Z</dcterms:modified>
</cp:coreProperties>
</file>