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5EF7" w:rsidRDefault="00F65EF7" w:rsidP="00F65EF7">
      <w:pPr>
        <w:rPr>
          <w:color w:val="000000" w:themeColor="text1"/>
          <w:sz w:val="24"/>
          <w:szCs w:val="24"/>
        </w:rPr>
      </w:pPr>
      <w:r>
        <w:rPr>
          <w:noProof/>
        </w:rPr>
        <w:drawing>
          <wp:inline distT="0" distB="0" distL="0" distR="0" wp14:anchorId="6037DDF7" wp14:editId="5A4B2C7D">
            <wp:extent cx="5943600" cy="2623185"/>
            <wp:effectExtent l="0" t="0" r="0" b="5715"/>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5943600" cy="2623185"/>
                    </a:xfrm>
                    <a:prstGeom prst="rect">
                      <a:avLst/>
                    </a:prstGeom>
                  </pic:spPr>
                </pic:pic>
              </a:graphicData>
            </a:graphic>
          </wp:inline>
        </w:drawing>
      </w:r>
    </w:p>
    <w:p w:rsidR="00F65EF7" w:rsidRPr="009747D3" w:rsidRDefault="00F65EF7" w:rsidP="00F65EF7">
      <w:pPr>
        <w:pStyle w:val="Caption"/>
        <w:rPr>
          <w:color w:val="000000" w:themeColor="text1"/>
          <w:sz w:val="24"/>
          <w:szCs w:val="24"/>
        </w:rPr>
      </w:pPr>
      <w:bookmarkStart w:id="0" w:name="_Hlk48375250"/>
      <w:r>
        <w:rPr>
          <w:color w:val="000000" w:themeColor="text1"/>
          <w:sz w:val="24"/>
          <w:szCs w:val="24"/>
        </w:rPr>
        <w:t xml:space="preserve">Supplementary </w:t>
      </w:r>
      <w:r w:rsidRPr="009747D3">
        <w:rPr>
          <w:color w:val="000000" w:themeColor="text1"/>
          <w:sz w:val="24"/>
          <w:szCs w:val="24"/>
        </w:rPr>
        <w:t xml:space="preserve">Figure </w:t>
      </w:r>
      <w:r>
        <w:rPr>
          <w:color w:val="000000" w:themeColor="text1"/>
          <w:sz w:val="24"/>
          <w:szCs w:val="24"/>
        </w:rPr>
        <w:t>1</w:t>
      </w:r>
      <w:r w:rsidRPr="009747D3">
        <w:rPr>
          <w:color w:val="000000" w:themeColor="text1"/>
          <w:sz w:val="24"/>
          <w:szCs w:val="24"/>
        </w:rPr>
        <w:t>:  Overview of the germplasm utilized in this study. Each oval's color corresponds to genotype flower color, solid outlines indicate (near) homozygosity while dashed indicate heterozygous background.  A) DRH population and its derivative</w:t>
      </w:r>
      <w:r>
        <w:rPr>
          <w:color w:val="000000" w:themeColor="text1"/>
          <w:sz w:val="24"/>
          <w:szCs w:val="24"/>
        </w:rPr>
        <w:t>s (DM, RH the F</w:t>
      </w:r>
      <w:r w:rsidRPr="002C0F35">
        <w:rPr>
          <w:color w:val="000000" w:themeColor="text1"/>
          <w:sz w:val="24"/>
          <w:szCs w:val="24"/>
          <w:vertAlign w:val="subscript"/>
        </w:rPr>
        <w:t>1</w:t>
      </w:r>
      <w:r>
        <w:rPr>
          <w:color w:val="000000" w:themeColor="text1"/>
          <w:sz w:val="24"/>
          <w:szCs w:val="24"/>
        </w:rPr>
        <w:t xml:space="preserve"> and the S</w:t>
      </w:r>
      <w:r w:rsidRPr="002F2F95">
        <w:rPr>
          <w:color w:val="000000" w:themeColor="text1"/>
          <w:sz w:val="24"/>
          <w:szCs w:val="24"/>
          <w:vertAlign w:val="subscript"/>
        </w:rPr>
        <w:t>5</w:t>
      </w:r>
      <w:r>
        <w:rPr>
          <w:color w:val="000000" w:themeColor="text1"/>
          <w:sz w:val="24"/>
          <w:szCs w:val="24"/>
        </w:rPr>
        <w:t xml:space="preserve"> are all diploid (2</w:t>
      </w:r>
      <w:r w:rsidRPr="002F2F95">
        <w:rPr>
          <w:i/>
          <w:color w:val="000000" w:themeColor="text1"/>
          <w:sz w:val="24"/>
          <w:szCs w:val="24"/>
        </w:rPr>
        <w:t>n</w:t>
      </w:r>
      <w:r>
        <w:rPr>
          <w:color w:val="000000" w:themeColor="text1"/>
          <w:sz w:val="24"/>
          <w:szCs w:val="24"/>
        </w:rPr>
        <w:t>=2</w:t>
      </w:r>
      <w:r w:rsidRPr="002F2F95">
        <w:rPr>
          <w:i/>
          <w:color w:val="000000" w:themeColor="text1"/>
          <w:sz w:val="24"/>
          <w:szCs w:val="24"/>
        </w:rPr>
        <w:t>x</w:t>
      </w:r>
      <w:r>
        <w:rPr>
          <w:color w:val="000000" w:themeColor="text1"/>
          <w:sz w:val="24"/>
          <w:szCs w:val="24"/>
        </w:rPr>
        <w:t>-24) whereas the F</w:t>
      </w:r>
      <w:r w:rsidRPr="002C0F35">
        <w:rPr>
          <w:color w:val="000000" w:themeColor="text1"/>
          <w:sz w:val="24"/>
          <w:szCs w:val="24"/>
          <w:vertAlign w:val="subscript"/>
        </w:rPr>
        <w:t>1</w:t>
      </w:r>
      <w:r>
        <w:rPr>
          <w:color w:val="000000" w:themeColor="text1"/>
          <w:sz w:val="24"/>
          <w:szCs w:val="24"/>
        </w:rPr>
        <w:t xml:space="preserve"> monoploids and the monoploids from the panel have 2</w:t>
      </w:r>
      <w:r w:rsidRPr="002F2F95">
        <w:rPr>
          <w:i/>
          <w:color w:val="000000" w:themeColor="text1"/>
          <w:sz w:val="24"/>
          <w:szCs w:val="24"/>
        </w:rPr>
        <w:t>n</w:t>
      </w:r>
      <w:r>
        <w:rPr>
          <w:color w:val="000000" w:themeColor="text1"/>
          <w:sz w:val="24"/>
          <w:szCs w:val="24"/>
        </w:rPr>
        <w:t>=1</w:t>
      </w:r>
      <w:r w:rsidRPr="002F2F95">
        <w:rPr>
          <w:i/>
          <w:color w:val="000000" w:themeColor="text1"/>
          <w:sz w:val="24"/>
          <w:szCs w:val="24"/>
        </w:rPr>
        <w:t>x</w:t>
      </w:r>
      <w:r>
        <w:rPr>
          <w:color w:val="000000" w:themeColor="text1"/>
          <w:sz w:val="24"/>
          <w:szCs w:val="24"/>
        </w:rPr>
        <w:t>=12)</w:t>
      </w:r>
      <w:r w:rsidRPr="009747D3">
        <w:rPr>
          <w:color w:val="000000" w:themeColor="text1"/>
          <w:sz w:val="24"/>
          <w:szCs w:val="24"/>
        </w:rPr>
        <w:t xml:space="preserve">. B) The monoploid panel published in </w:t>
      </w:r>
      <w:proofErr w:type="spellStart"/>
      <w:r w:rsidRPr="009747D3">
        <w:rPr>
          <w:color w:val="000000" w:themeColor="text1"/>
          <w:sz w:val="24"/>
          <w:szCs w:val="24"/>
        </w:rPr>
        <w:t>Hardigan</w:t>
      </w:r>
      <w:proofErr w:type="spellEnd"/>
      <w:r w:rsidRPr="009747D3">
        <w:rPr>
          <w:color w:val="000000" w:themeColor="text1"/>
          <w:sz w:val="24"/>
          <w:szCs w:val="24"/>
        </w:rPr>
        <w:t xml:space="preserve"> et al. (2016)</w:t>
      </w:r>
      <w:r>
        <w:rPr>
          <w:color w:val="000000" w:themeColor="text1"/>
          <w:sz w:val="24"/>
          <w:szCs w:val="24"/>
        </w:rPr>
        <w:t>.</w:t>
      </w:r>
    </w:p>
    <w:p w:rsidR="002C36B4" w:rsidRDefault="002C36B4">
      <w:bookmarkStart w:id="1" w:name="_GoBack"/>
      <w:bookmarkEnd w:id="0"/>
      <w:bookmarkEnd w:id="1"/>
    </w:p>
    <w:sectPr w:rsidR="002C36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EF7"/>
    <w:rsid w:val="002C36B4"/>
    <w:rsid w:val="004949F4"/>
    <w:rsid w:val="00F65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315F3-7DB0-4584-9EA9-379A73BFA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5EF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iPriority w:val="35"/>
    <w:unhideWhenUsed/>
    <w:qFormat/>
    <w:rsid w:val="00F65EF7"/>
    <w:pPr>
      <w:spacing w:line="240" w:lineRule="auto"/>
    </w:pPr>
    <w:rPr>
      <w:b/>
      <w:bCs/>
      <w:color w:val="4472C4" w:themeColor="accent1"/>
      <w:sz w:val="18"/>
      <w:szCs w:val="18"/>
    </w:rPr>
  </w:style>
  <w:style w:type="character" w:customStyle="1" w:styleId="CaptionChar">
    <w:name w:val="Caption Char"/>
    <w:basedOn w:val="DefaultParagraphFont"/>
    <w:link w:val="Caption"/>
    <w:uiPriority w:val="35"/>
    <w:rsid w:val="00F65EF7"/>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67</Words>
  <Characters>386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Veilleux, Richard</dc:creator>
  <cp:keywords/>
  <dc:description/>
  <cp:lastModifiedBy>Veilleux, Richard</cp:lastModifiedBy>
  <cp:revision>1</cp:revision>
  <dcterms:created xsi:type="dcterms:W3CDTF">2020-08-15T13:39:00Z</dcterms:created>
  <dcterms:modified xsi:type="dcterms:W3CDTF">2020-08-15T13:39:00Z</dcterms:modified>
</cp:coreProperties>
</file>