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D8F" w:rsidRPr="00090D8F" w:rsidRDefault="00090D8F" w:rsidP="00090D8F">
      <w:pPr>
        <w:pStyle w:val="Otsikko1"/>
        <w:rPr>
          <w:rFonts w:eastAsiaTheme="minorHAnsi"/>
          <w:lang w:val="en-US"/>
        </w:rPr>
      </w:pPr>
      <w:r w:rsidRPr="00090D8F">
        <w:rPr>
          <w:rFonts w:eastAsiaTheme="minorHAnsi"/>
          <w:lang w:val="en-US"/>
        </w:rPr>
        <w:t>Supplementary methods</w:t>
      </w:r>
    </w:p>
    <w:p w:rsidR="00090D8F" w:rsidRPr="00090D8F" w:rsidRDefault="00090D8F" w:rsidP="00090D8F">
      <w:pPr>
        <w:rPr>
          <w:lang w:val="en-US"/>
        </w:rPr>
      </w:pPr>
      <w:r w:rsidRPr="00090D8F">
        <w:rPr>
          <w:lang w:val="en-US"/>
        </w:rPr>
        <w:t xml:space="preserve">Alignment and SNP calling are often challenging in conifers as due to the repetitive nature of their genomes </w:t>
      </w:r>
      <w:r w:rsidRPr="00090D8F">
        <w:rPr>
          <w:lang w:val="en-US"/>
        </w:rPr>
        <w:fldChar w:fldCharType="begin" w:fldLock="1"/>
      </w:r>
      <w:r w:rsidRPr="00090D8F">
        <w:rPr>
          <w:lang w:val="en-US"/>
        </w:rPr>
        <w:instrText>ADDIN CSL_CITATION {"citationItems":[{"id":"ITEM-1","itemData":{"DOI":"10.1534/genetics.113.159996","ISSN":"1943-2631","PMID":"24653211","abstract":"The largest genus in the conifer family Pinaceae is Pinus, with over 100 species. The size and complexity of their genomes (</w:instrText>
      </w:r>
      <w:r w:rsidRPr="00090D8F">
        <w:rPr>
          <w:rFonts w:ascii="Cambria Math" w:hAnsi="Cambria Math" w:cs="Cambria Math"/>
          <w:lang w:val="en-US"/>
        </w:rPr>
        <w:instrText>∼</w:instrText>
      </w:r>
      <w:r w:rsidRPr="00090D8F">
        <w:rPr>
          <w:lang w:val="en-US"/>
        </w:rPr>
        <w:instrText>20-40 Gb, 2n = 24) have delayed the arrival of a well-annotated reference sequence. In this study, we present the annotation of the first whole-genome shotgun assembly of loblolly pine (Pinus taeda L.), which comprises 20.1 Gb of sequence. The MAKER-P annotation pipeline combined evidence-based alignments and ab initio predictions to generate 50,172 gene models, of which 15,653 are classified as high confidence. Clustering these gene models with 13 other plant species resulted in 20,646 gene families, of which 1554 are predicted to be unique to conifers. Among the conifer gene families, 159 are composed exclusively of loblolly pine members. The gene models for loblolly pine have the highest median and mean intron lengths of 24 fully sequenced plant genomes. Conifer genomes are full of repetitive DNA, with the most significant contributions from long-terminal-repeat retrotransposons. In depth analysis of the tandem and interspersed repetitive content yielded a combined estimate of 82%.","author":[{"dropping-particle":"","family":"Wegrzyn","given":"Jill L","non-dropping-particle":"","parse-names":false,"suffix":""},{"dropping-particle":"","family":"Liechty","given":"John D","non-dropping-particle":"","parse-names":false,"suffix":""},{"dropping-particle":"","family":"Stevens","given":"Kristian a","non-dropping-particle":"","parse-names":false,"suffix":""},{"dropping-particle":"","family":"Wu","given":"Le-Shin","non-dropping-particle":"","parse-names":false,"suffix":""},{"dropping-particle":"","family":"Loopstra","given":"Carol a","non-dropping-particle":"","parse-names":false,"suffix":""},{"dropping-particle":"","family":"Vasquez-Gross","given":"Hans a","non-dropping-particle":"","parse-names":false,"suffix":""},{"dropping-particle":"","family":"Dougherty","given":"William M","non-dropping-particle":"","parse-names":false,"suffix":""},{"dropping-particle":"","family":"Lin","given":"Brian Y","non-dropping-particle":"","parse-names":false,"suffix":""},{"dropping-particle":"","family":"Zieve","given":"Jacob J","non-dropping-particle":"","parse-names":false,"suffix":""},{"dropping-particle":"","family":"Martínez-García","given":"Pedro J","non-dropping-particle":"","parse-names":false,"suffix":""},{"dropping-particle":"","family":"Holt","given":"Carson","non-dropping-particle":"","parse-names":false,"suffix":""},{"dropping-particle":"","family":"Yandell","given":"Mark","non-dropping-particle":"","parse-names":false,"suffix":""},{"dropping-particle":"V","family":"Zimin","given":"Aleksey","non-dropping-particle":"","parse-names":false,"suffix":""},{"dropping-particle":"","family":"Yorke","given":"James a","non-dropping-particle":"","parse-names":false,"suffix":""},{"dropping-particle":"","family":"Crepeau","given":"Marc W","non-dropping-particle":"","parse-names":false,"suffix":""},{"dropping-particle":"","family":"Puiu","given":"Daniela","non-dropping-particle":"","parse-names":false,"suffix":""},{"dropping-particle":"","family":"Salzberg","given":"Steven L","non-dropping-particle":"","parse-names":false,"suffix":""},{"dropping-particle":"","family":"Dejong","given":"Pieter J","non-dropping-particle":"","parse-names":false,"suffix":""},{"dropping-particle":"","family":"Mockaitis","given":"Keithanne","non-dropping-particle":"","parse-names":false,"suffix":""},{"dropping-particle":"","family":"Main","given":"Doreen","non-dropping-particle":"","parse-names":false,"suffix":""},{"dropping-particle":"","family":"Langley","given":"Charles H","non-dropping-particle":"","parse-names":false,"suffix":""},{"dropping-particle":"","family":"Neale","given":"David B","non-dropping-particle":"","parse-names":false,"suffix":""}],"container-title":"Genetics","id":"ITEM-1","issue":"3","issued":{"date-parts":[["2014","3"]]},"page":"891-909","title":"Unique features of the loblolly pine (Pinus taeda L.) megagenome revealed through sequence annotation.","type":"article-journal","volume":"196"},"uris":["http://www.mendeley.com/documents/?uuid=75874010-bd86-4c8d-84cb-27a503b67f0e"]}],"mendeley":{"formattedCitation":"(Wegrzyn et al., 2014)","plainTextFormattedCitation":"(Wegrzyn et al., 2014)","previouslyFormattedCitation":"(Wegrzyn et al., 2014)"},"properties":{"noteIndex":0},"schema":"https://github.com/citation-style-language/schema/raw/master/csl-citation.json"}</w:instrText>
      </w:r>
      <w:r w:rsidRPr="00090D8F">
        <w:rPr>
          <w:lang w:val="en-US"/>
        </w:rPr>
        <w:fldChar w:fldCharType="separate"/>
      </w:r>
      <w:r w:rsidRPr="00090D8F">
        <w:rPr>
          <w:noProof/>
          <w:lang w:val="en-US"/>
        </w:rPr>
        <w:t>(Wegrzyn et al., 2014)</w:t>
      </w:r>
      <w:r w:rsidRPr="00090D8F">
        <w:fldChar w:fldCharType="end"/>
      </w:r>
      <w:r w:rsidRPr="00090D8F">
        <w:rPr>
          <w:lang w:val="en-US"/>
        </w:rPr>
        <w:t xml:space="preserve">, leading to errors in read alignment. Alignments of individual samples visualized with IGV </w:t>
      </w:r>
      <w:r w:rsidRPr="00090D8F">
        <w:rPr>
          <w:lang w:val="en-US"/>
        </w:rPr>
        <w:fldChar w:fldCharType="begin" w:fldLock="1"/>
      </w:r>
      <w:r w:rsidRPr="00090D8F">
        <w:rPr>
          <w:lang w:val="en-US"/>
        </w:rPr>
        <w:instrText>ADDIN CSL_CITATION {"citationItems":[{"id":"ITEM-1","itemData":{"DOI":"10.1093/bib/bbs017","author":[{"dropping-particle":"","family":"Thorvaldsdottir","given":"H","non-dropping-particle":"","parse-names":false,"suffix":""},{"dropping-particle":"","family":"James","given":"T","non-dropping-particle":"","parse-names":false,"suffix":""},{"dropping-particle":"","family":"Jill","given":"P","non-dropping-particle":"","parse-names":false,"suffix":""}],"id":"ITEM-1","issue":"2","issued":{"date-parts":[["2012"]]},"page":"178-192","title":"Integrative Genomics Viewer ( IGV ): high-performance genomics data visualization and exploration","type":"article-journal","volume":"14"},"uris":["http://www.mendeley.com/documents/?uuid=5022ae58-0d20-4b5e-af53-be7a2d92ac25","http://www.mendeley.com/documents/?uuid=9f71299e-c20e-4d43-90c1-0f81fb6812e3"]}],"mendeley":{"formattedCitation":"(Thorvaldsdottir, James, &amp; Jill, 2012)","plainTextFormattedCitation":"(Thorvaldsdottir, James, &amp; Jill, 2012)","previouslyFormattedCitation":"(Thorvaldsdottir, James, &amp; Jill, 2012)"},"properties":{"noteIndex":0},"schema":"https://github.com/citation-style-language/schema/raw/master/csl-citation.json"}</w:instrText>
      </w:r>
      <w:r w:rsidRPr="00090D8F">
        <w:rPr>
          <w:lang w:val="en-US"/>
        </w:rPr>
        <w:fldChar w:fldCharType="separate"/>
      </w:r>
      <w:r w:rsidRPr="00090D8F">
        <w:rPr>
          <w:noProof/>
          <w:lang w:val="en-US"/>
        </w:rPr>
        <w:t>(Thorvaldsdottir, James, &amp; Jill, 2012)</w:t>
      </w:r>
      <w:r w:rsidRPr="00090D8F">
        <w:fldChar w:fldCharType="end"/>
      </w:r>
      <w:r w:rsidRPr="00090D8F">
        <w:rPr>
          <w:lang w:val="en-US"/>
        </w:rPr>
        <w:t xml:space="preserve"> revealed that large proportion of target area contained not only reads with probably correct alignment (few or no mismatches to reference genome) but in addition reads which were likely incorrectly aligned to the area (multiple mismatches and gaps). This suggests that the off-target, paralogous sequence had been captured along with the target sequence. </w:t>
      </w:r>
    </w:p>
    <w:p w:rsidR="00090D8F" w:rsidRPr="00090D8F" w:rsidRDefault="00090D8F" w:rsidP="00090D8F">
      <w:pPr>
        <w:rPr>
          <w:lang w:val="en-US"/>
        </w:rPr>
      </w:pPr>
      <w:bookmarkStart w:id="0" w:name="_GoBack"/>
      <w:bookmarkEnd w:id="0"/>
    </w:p>
    <w:p w:rsidR="00090D8F" w:rsidRPr="00090D8F" w:rsidRDefault="00090D8F" w:rsidP="00090D8F">
      <w:pPr>
        <w:rPr>
          <w:lang w:val="en-US"/>
        </w:rPr>
      </w:pPr>
      <w:r w:rsidRPr="00090D8F">
        <w:rPr>
          <w:lang w:val="en-US"/>
        </w:rPr>
        <w:t xml:space="preserve">Areas containing paralogous sequence may lead to spurious SNP calls inflating the number of SNPs and distorting the shape of the allele frequency spectrum. Identification of such areas is possible since overlap of correctly and incorrectly aligned reads may be detected as heterozygous genotype calls, which are not expected with haploid DNA that was used for sequencing. To alleviate the incorrect </w:t>
      </w:r>
      <w:proofErr w:type="gramStart"/>
      <w:r w:rsidRPr="00090D8F">
        <w:rPr>
          <w:lang w:val="en-US"/>
        </w:rPr>
        <w:t>alignment</w:t>
      </w:r>
      <w:proofErr w:type="gramEnd"/>
      <w:r w:rsidRPr="00090D8F">
        <w:rPr>
          <w:lang w:val="en-US"/>
        </w:rPr>
        <w:t xml:space="preserve"> issue the SNP calling step was performed twice. The first SNP call to detect spurious heterozygous areas was performed with </w:t>
      </w:r>
      <w:proofErr w:type="spellStart"/>
      <w:r w:rsidRPr="00090D8F">
        <w:rPr>
          <w:lang w:val="en-US"/>
        </w:rPr>
        <w:t>freebayes</w:t>
      </w:r>
      <w:proofErr w:type="spellEnd"/>
      <w:r w:rsidRPr="00090D8F">
        <w:rPr>
          <w:lang w:val="en-US"/>
        </w:rPr>
        <w:t xml:space="preserve"> </w:t>
      </w:r>
      <w:r w:rsidRPr="00090D8F">
        <w:rPr>
          <w:lang w:val="en-US"/>
        </w:rPr>
        <w:fldChar w:fldCharType="begin" w:fldLock="1"/>
      </w:r>
      <w:r w:rsidRPr="00090D8F">
        <w:rPr>
          <w:lang w:val="en-US"/>
        </w:rPr>
        <w:instrText>ADDIN CSL_CITATION {"citationItems":[{"id":"ITEM-1","itemData":{"DOI":"arXiv:1207.3907 [q-bio.GN]","ISBN":"1095-9203 (Electronic)\\n0036-8075 (Linking)","ISSN":"1095-9203","PMID":"24136966","abstract":"The direct detection of haplotypes from short-read DNA sequencing data requires changes to existing small-variant detection methods. Here, we develop a Bayesian statistical framework which is capable of modeling multiallelic loci in sets of individuals with non-uniform copy number. We then describe our implementation of this framework in a haplotype-based variant detector, FreeBayes.","author":[{"dropping-particle":"","family":"Garrison","given":"Erik","non-dropping-particle":"","parse-names":false,"suffix":""},{"dropping-particle":"","family":"Marth","given":"Gabor","non-dropping-particle":"","parse-names":false,"suffix":""}],"id":"ITEM-1","issued":{"date-parts":[["2012"]]},"page":"1-20","title":"Haplotype-based variant detection from short-read sequencing","type":"article-journal"},"uris":["http://www.mendeley.com/documents/?uuid=efd2fbe3-1f8e-4b9c-9817-6e6c61a7afca"]}],"mendeley":{"formattedCitation":"(Garrison &amp; Marth, 2012)","plainTextFormattedCitation":"(Garrison &amp; Marth, 2012)","previouslyFormattedCitation":"(Garrison &amp; Marth, 2012)"},"properties":{"noteIndex":0},"schema":"https://github.com/citation-style-language/schema/raw/master/csl-citation.json"}</w:instrText>
      </w:r>
      <w:r w:rsidRPr="00090D8F">
        <w:rPr>
          <w:lang w:val="en-US"/>
        </w:rPr>
        <w:fldChar w:fldCharType="separate"/>
      </w:r>
      <w:r w:rsidRPr="00090D8F">
        <w:rPr>
          <w:noProof/>
          <w:lang w:val="en-US"/>
        </w:rPr>
        <w:t>(Garrison &amp; Marth, 2012)</w:t>
      </w:r>
      <w:r w:rsidRPr="00090D8F">
        <w:fldChar w:fldCharType="end"/>
      </w:r>
      <w:r w:rsidRPr="00090D8F">
        <w:rPr>
          <w:lang w:val="en-US"/>
        </w:rPr>
        <w:t xml:space="preserve"> using parameter --ploidy 2 to detect heterozygous variant calls. Other parameters were set as -T 0.01 --min-coverage 5 -u -X.  Areas containing heterozygous genotypes and nearby areas with radius of 25 bases were then marked to a bed file for later filtering as paralogous areas may also contain spurious homozygous SNP calls which should be removed. Visualizations of alignments indicated that paralogous areas were often saturated with heterozygous SNP calls hence a filter radius of 25 bases was deemed sufficiently large to filter out possible spurious homozygous calls. A bed file defining non-paralogous areas was then created by generating a bed file for the whole </w:t>
      </w:r>
      <w:r w:rsidRPr="00090D8F">
        <w:rPr>
          <w:i/>
          <w:lang w:val="en-US"/>
        </w:rPr>
        <w:t xml:space="preserve">P. </w:t>
      </w:r>
      <w:proofErr w:type="spellStart"/>
      <w:r w:rsidRPr="00090D8F">
        <w:rPr>
          <w:i/>
          <w:lang w:val="en-US"/>
        </w:rPr>
        <w:t>taeda</w:t>
      </w:r>
      <w:proofErr w:type="spellEnd"/>
      <w:r w:rsidRPr="00090D8F">
        <w:rPr>
          <w:i/>
          <w:lang w:val="en-US"/>
        </w:rPr>
        <w:t xml:space="preserve"> </w:t>
      </w:r>
      <w:r w:rsidRPr="00090D8F">
        <w:rPr>
          <w:lang w:val="en-US"/>
        </w:rPr>
        <w:t xml:space="preserve">reference genome and removing the paralogous areas with </w:t>
      </w:r>
      <w:proofErr w:type="spellStart"/>
      <w:r w:rsidRPr="00090D8F">
        <w:rPr>
          <w:lang w:val="en-US"/>
        </w:rPr>
        <w:t>bedtools</w:t>
      </w:r>
      <w:proofErr w:type="spellEnd"/>
      <w:r w:rsidRPr="00090D8F">
        <w:rPr>
          <w:lang w:val="en-US"/>
        </w:rPr>
        <w:t xml:space="preserve"> </w:t>
      </w:r>
      <w:r w:rsidRPr="00090D8F">
        <w:rPr>
          <w:lang w:val="en-US"/>
        </w:rPr>
        <w:fldChar w:fldCharType="begin" w:fldLock="1"/>
      </w:r>
      <w:r w:rsidRPr="00090D8F">
        <w:rPr>
          <w:lang w:val="en-US"/>
        </w:rPr>
        <w:instrText>ADDIN CSL_CITATION {"citationItems":[{"id":"ITEM-1","itemData":{"DOI":"10.1093/bioinformatics/btq033","ISSN":"1367-4811","PMID":"20110278","abstract":"Testing for correlations between different sets of genomic features is a fundamental task in genomics research. However, searching for overlaps between features with existing web-based methods is complicated by the massive datasets that are routinely produced with current sequencing technologies. Fast and flexible tools are therefore required to ask complex questions of these data in an efficient manner.","author":[{"dropping-particle":"","family":"Quinlan","given":"Aaron R.","non-dropping-particle":"","parse-names":false,"suffix":""},{"dropping-particle":"","family":"Hall","given":"Ira M.","non-dropping-particle":"","parse-names":false,"suffix":""}],"container-title":"Bioinformatics","id":"ITEM-1","issue":"6","issued":{"date-parts":[["2010","3","15"]]},"page":"841-842","title":"BEDTools: A flexible suite of utilities for comparing genomic features","type":"article-journal","volume":"26"},"uris":["http://www.mendeley.com/documents/?uuid=1c0dc757-1b38-40cc-b830-be0ffa21613e"]}],"mendeley":{"formattedCitation":"(Quinlan &amp; Hall, 2010)","plainTextFormattedCitation":"(Quinlan &amp; Hall, 2010)","previouslyFormattedCitation":"(Quinlan &amp; Hall, 2010)"},"properties":{"noteIndex":0},"schema":"https://github.com/citation-style-language/schema/raw/master/csl-citation.json"}</w:instrText>
      </w:r>
      <w:r w:rsidRPr="00090D8F">
        <w:rPr>
          <w:lang w:val="en-US"/>
        </w:rPr>
        <w:fldChar w:fldCharType="separate"/>
      </w:r>
      <w:r w:rsidRPr="00090D8F">
        <w:rPr>
          <w:noProof/>
          <w:lang w:val="en-US"/>
        </w:rPr>
        <w:t>(Quinlan &amp; Hall, 2010)</w:t>
      </w:r>
      <w:r w:rsidRPr="00090D8F">
        <w:fldChar w:fldCharType="end"/>
      </w:r>
      <w:r w:rsidRPr="00090D8F">
        <w:rPr>
          <w:lang w:val="en-US"/>
        </w:rPr>
        <w:t xml:space="preserve"> subtract command. </w:t>
      </w:r>
    </w:p>
    <w:p w:rsidR="00090D8F" w:rsidRPr="00090D8F" w:rsidRDefault="00090D8F" w:rsidP="00090D8F">
      <w:pPr>
        <w:rPr>
          <w:lang w:val="en-US"/>
        </w:rPr>
      </w:pPr>
    </w:p>
    <w:p w:rsidR="00863446" w:rsidRDefault="00090D8F" w:rsidP="00090D8F">
      <w:pPr>
        <w:rPr>
          <w:lang w:val="en-US"/>
        </w:rPr>
      </w:pPr>
      <w:r w:rsidRPr="00090D8F">
        <w:rPr>
          <w:lang w:val="en-US"/>
        </w:rPr>
        <w:t xml:space="preserve">Variant calling was redone to achieve the final set of SNPs with the same parameters as in the first call, but --ploidy 1 argument was used instead and the bed file defining non-paralogous areas was provided as target area with -t parameter. As some downstream analysis requires information on the length of the sequence available for analysis (henceforth referenced as ‘available genome’) a VCF file containing genotype calls including monomorphic sites was generated by including --report-monomorphic parameter to </w:t>
      </w:r>
      <w:proofErr w:type="spellStart"/>
      <w:r w:rsidRPr="00090D8F">
        <w:rPr>
          <w:lang w:val="en-US"/>
        </w:rPr>
        <w:t>freebayes</w:t>
      </w:r>
      <w:proofErr w:type="spellEnd"/>
      <w:r w:rsidRPr="00090D8F">
        <w:rPr>
          <w:lang w:val="en-US"/>
        </w:rPr>
        <w:t xml:space="preserve"> command line. As calling monomorphic genotypes for large number of samples requires excessive amount of RAM and a long runtime, the SNP calling was performed only for scaffolds longer than 1000 bases. This removes only 14.3 % of total sequence but the total number of scaffolds is reduced from over 14 million to one million greatly reducing the computational runtime of downstream analysis. No exome capture baits had been designed for the omitted areas. The genotype calling was parallelized by performing the run separately for each sample in its own thread. The produced VCF files were then combined with </w:t>
      </w:r>
      <w:proofErr w:type="spellStart"/>
      <w:r w:rsidRPr="00090D8F">
        <w:rPr>
          <w:lang w:val="en-US"/>
        </w:rPr>
        <w:t>vcflib</w:t>
      </w:r>
      <w:proofErr w:type="spellEnd"/>
      <w:r w:rsidRPr="00090D8F">
        <w:rPr>
          <w:lang w:val="en-US"/>
        </w:rPr>
        <w:t xml:space="preserve"> </w:t>
      </w:r>
      <w:proofErr w:type="spellStart"/>
      <w:r w:rsidRPr="00090D8F">
        <w:rPr>
          <w:lang w:val="en-US"/>
        </w:rPr>
        <w:t>vcfcombine</w:t>
      </w:r>
      <w:proofErr w:type="spellEnd"/>
      <w:r w:rsidRPr="00090D8F">
        <w:rPr>
          <w:lang w:val="en-US"/>
        </w:rPr>
        <w:t xml:space="preserve"> tool.</w:t>
      </w:r>
    </w:p>
    <w:p w:rsidR="00090D8F" w:rsidRDefault="00090D8F" w:rsidP="00090D8F">
      <w:pPr>
        <w:rPr>
          <w:lang w:val="en-US"/>
        </w:rPr>
      </w:pPr>
    </w:p>
    <w:p w:rsidR="00090D8F" w:rsidRDefault="00090D8F" w:rsidP="00090D8F">
      <w:pPr>
        <w:pStyle w:val="Otsikko2"/>
      </w:pPr>
      <w:r>
        <w:t>References</w:t>
      </w:r>
    </w:p>
    <w:p w:rsidR="00090D8F" w:rsidRPr="00090D8F" w:rsidRDefault="00090D8F" w:rsidP="00090D8F">
      <w:pPr>
        <w:widowControl w:val="0"/>
        <w:autoSpaceDE w:val="0"/>
        <w:autoSpaceDN w:val="0"/>
        <w:adjustRightInd w:val="0"/>
        <w:ind w:left="480" w:hanging="480"/>
        <w:rPr>
          <w:rFonts w:ascii="Calibri" w:hAnsi="Calibri" w:cs="Times New Roman"/>
          <w:noProof/>
        </w:rPr>
      </w:pPr>
      <w:r>
        <w:rPr>
          <w:lang w:val="en-US"/>
        </w:rPr>
        <w:fldChar w:fldCharType="begin" w:fldLock="1"/>
      </w:r>
      <w:r>
        <w:rPr>
          <w:lang w:val="en-US"/>
        </w:rPr>
        <w:instrText xml:space="preserve">ADDIN Mendeley Bibliography CSL_BIBLIOGRAPHY </w:instrText>
      </w:r>
      <w:r>
        <w:rPr>
          <w:lang w:val="en-US"/>
        </w:rPr>
        <w:fldChar w:fldCharType="separate"/>
      </w:r>
      <w:r w:rsidRPr="00090D8F">
        <w:rPr>
          <w:rFonts w:ascii="Calibri" w:hAnsi="Calibri" w:cs="Times New Roman"/>
          <w:noProof/>
        </w:rPr>
        <w:t>Garrison, E., &amp; Marth, G. (2012). Haplotype-based variant detection from short-read sequencing, 1–20. doi:arXiv:1207.3907 [q-bio.GN]</w:t>
      </w:r>
    </w:p>
    <w:p w:rsidR="00090D8F" w:rsidRPr="00090D8F" w:rsidRDefault="00090D8F" w:rsidP="00090D8F">
      <w:pPr>
        <w:widowControl w:val="0"/>
        <w:autoSpaceDE w:val="0"/>
        <w:autoSpaceDN w:val="0"/>
        <w:adjustRightInd w:val="0"/>
        <w:ind w:left="480" w:hanging="480"/>
        <w:rPr>
          <w:rFonts w:ascii="Calibri" w:hAnsi="Calibri" w:cs="Times New Roman"/>
          <w:noProof/>
        </w:rPr>
      </w:pPr>
      <w:r w:rsidRPr="00090D8F">
        <w:rPr>
          <w:rFonts w:ascii="Calibri" w:hAnsi="Calibri" w:cs="Times New Roman"/>
          <w:noProof/>
        </w:rPr>
        <w:t xml:space="preserve">Quinlan, A. R., &amp; Hall, I. M. (2010). BEDTools: A flexible suite of utilities for comparing genomic features. </w:t>
      </w:r>
      <w:r w:rsidRPr="00090D8F">
        <w:rPr>
          <w:rFonts w:ascii="Calibri" w:hAnsi="Calibri" w:cs="Times New Roman"/>
          <w:i/>
          <w:iCs/>
          <w:noProof/>
        </w:rPr>
        <w:t>Bioinformatics</w:t>
      </w:r>
      <w:r w:rsidRPr="00090D8F">
        <w:rPr>
          <w:rFonts w:ascii="Calibri" w:hAnsi="Calibri" w:cs="Times New Roman"/>
          <w:noProof/>
        </w:rPr>
        <w:t xml:space="preserve">, </w:t>
      </w:r>
      <w:r w:rsidRPr="00090D8F">
        <w:rPr>
          <w:rFonts w:ascii="Calibri" w:hAnsi="Calibri" w:cs="Times New Roman"/>
          <w:i/>
          <w:iCs/>
          <w:noProof/>
        </w:rPr>
        <w:t>26</w:t>
      </w:r>
      <w:r w:rsidRPr="00090D8F">
        <w:rPr>
          <w:rFonts w:ascii="Calibri" w:hAnsi="Calibri" w:cs="Times New Roman"/>
          <w:noProof/>
        </w:rPr>
        <w:t>(6), 841–842. doi:10.1093/bioinformatics/btq033</w:t>
      </w:r>
    </w:p>
    <w:p w:rsidR="00090D8F" w:rsidRPr="00090D8F" w:rsidRDefault="00090D8F" w:rsidP="00090D8F">
      <w:pPr>
        <w:widowControl w:val="0"/>
        <w:autoSpaceDE w:val="0"/>
        <w:autoSpaceDN w:val="0"/>
        <w:adjustRightInd w:val="0"/>
        <w:ind w:left="480" w:hanging="480"/>
        <w:rPr>
          <w:rFonts w:ascii="Calibri" w:hAnsi="Calibri" w:cs="Times New Roman"/>
          <w:noProof/>
        </w:rPr>
      </w:pPr>
      <w:r w:rsidRPr="00090D8F">
        <w:rPr>
          <w:rFonts w:ascii="Calibri" w:hAnsi="Calibri" w:cs="Times New Roman"/>
          <w:noProof/>
        </w:rPr>
        <w:t xml:space="preserve">Thorvaldsdottir, H., James, T., &amp; Jill, P. (2012). Integrative Genomics Viewer ( IGV ): high-performance genomics data visualization and exploration, </w:t>
      </w:r>
      <w:r w:rsidRPr="00090D8F">
        <w:rPr>
          <w:rFonts w:ascii="Calibri" w:hAnsi="Calibri" w:cs="Times New Roman"/>
          <w:i/>
          <w:iCs/>
          <w:noProof/>
        </w:rPr>
        <w:t>14</w:t>
      </w:r>
      <w:r w:rsidRPr="00090D8F">
        <w:rPr>
          <w:rFonts w:ascii="Calibri" w:hAnsi="Calibri" w:cs="Times New Roman"/>
          <w:noProof/>
        </w:rPr>
        <w:t xml:space="preserve">(2), 178–192. </w:t>
      </w:r>
      <w:r w:rsidRPr="00090D8F">
        <w:rPr>
          <w:rFonts w:ascii="Calibri" w:hAnsi="Calibri" w:cs="Times New Roman"/>
          <w:noProof/>
        </w:rPr>
        <w:lastRenderedPageBreak/>
        <w:t>doi:10.1093/bib/bbs017</w:t>
      </w:r>
    </w:p>
    <w:p w:rsidR="00090D8F" w:rsidRPr="00090D8F" w:rsidRDefault="00090D8F" w:rsidP="00090D8F">
      <w:pPr>
        <w:widowControl w:val="0"/>
        <w:autoSpaceDE w:val="0"/>
        <w:autoSpaceDN w:val="0"/>
        <w:adjustRightInd w:val="0"/>
        <w:ind w:left="480" w:hanging="480"/>
        <w:rPr>
          <w:rFonts w:ascii="Calibri" w:hAnsi="Calibri"/>
          <w:noProof/>
        </w:rPr>
      </w:pPr>
      <w:r w:rsidRPr="00090D8F">
        <w:rPr>
          <w:rFonts w:ascii="Calibri" w:hAnsi="Calibri" w:cs="Times New Roman"/>
          <w:noProof/>
        </w:rPr>
        <w:t xml:space="preserve">Wegrzyn, J. L., Liechty, J. D., Stevens, K. a, Wu, L.-S., Loopstra, C. a, Vasquez-Gross, H. a, … Neale, D. B. (2014). Unique features of the loblolly pine (Pinus taeda L.) megagenome revealed through sequence annotation. </w:t>
      </w:r>
      <w:r w:rsidRPr="00090D8F">
        <w:rPr>
          <w:rFonts w:ascii="Calibri" w:hAnsi="Calibri" w:cs="Times New Roman"/>
          <w:i/>
          <w:iCs/>
          <w:noProof/>
        </w:rPr>
        <w:t>Genetics</w:t>
      </w:r>
      <w:r w:rsidRPr="00090D8F">
        <w:rPr>
          <w:rFonts w:ascii="Calibri" w:hAnsi="Calibri" w:cs="Times New Roman"/>
          <w:noProof/>
        </w:rPr>
        <w:t xml:space="preserve">, </w:t>
      </w:r>
      <w:r w:rsidRPr="00090D8F">
        <w:rPr>
          <w:rFonts w:ascii="Calibri" w:hAnsi="Calibri" w:cs="Times New Roman"/>
          <w:i/>
          <w:iCs/>
          <w:noProof/>
        </w:rPr>
        <w:t>196</w:t>
      </w:r>
      <w:r w:rsidRPr="00090D8F">
        <w:rPr>
          <w:rFonts w:ascii="Calibri" w:hAnsi="Calibri" w:cs="Times New Roman"/>
          <w:noProof/>
        </w:rPr>
        <w:t>(3), 891–909. doi:10.1534/genetics.113.159996</w:t>
      </w:r>
    </w:p>
    <w:p w:rsidR="00090D8F" w:rsidRPr="00090D8F" w:rsidRDefault="00090D8F" w:rsidP="00090D8F">
      <w:pPr>
        <w:rPr>
          <w:lang w:val="en-US"/>
        </w:rPr>
      </w:pPr>
      <w:r>
        <w:rPr>
          <w:lang w:val="en-US"/>
        </w:rPr>
        <w:fldChar w:fldCharType="end"/>
      </w:r>
    </w:p>
    <w:p w:rsidR="00090D8F" w:rsidRPr="00090D8F" w:rsidRDefault="00090D8F" w:rsidP="00090D8F">
      <w:pPr>
        <w:rPr>
          <w:lang w:val="en-US"/>
        </w:rPr>
      </w:pPr>
    </w:p>
    <w:sectPr w:rsidR="00090D8F" w:rsidRPr="00090D8F" w:rsidSect="002A4A10">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D8F"/>
    <w:rsid w:val="00090D8F"/>
    <w:rsid w:val="002A4A10"/>
    <w:rsid w:val="00430483"/>
    <w:rsid w:val="0055229A"/>
    <w:rsid w:val="005B6C87"/>
    <w:rsid w:val="005D6ED8"/>
    <w:rsid w:val="006B648E"/>
    <w:rsid w:val="00A612F3"/>
    <w:rsid w:val="00C15216"/>
    <w:rsid w:val="00CC1267"/>
    <w:rsid w:val="00DA1F2E"/>
    <w:rsid w:val="00DB047F"/>
    <w:rsid w:val="00E03780"/>
    <w:rsid w:val="00E2167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5A80"/>
  <w15:chartTrackingRefBased/>
  <w15:docId w15:val="{EC150807-7262-7E45-A7BF-E5AF6529B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090D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090D8F"/>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090D8F"/>
    <w:rPr>
      <w:rFonts w:asciiTheme="majorHAnsi" w:eastAsiaTheme="majorEastAsia" w:hAnsiTheme="majorHAnsi" w:cstheme="majorBidi"/>
      <w:color w:val="2F5496" w:themeColor="accent1" w:themeShade="BF"/>
      <w:sz w:val="26"/>
      <w:szCs w:val="26"/>
      <w:lang w:val="en-US"/>
    </w:rPr>
  </w:style>
  <w:style w:type="character" w:customStyle="1" w:styleId="Otsikko1Char">
    <w:name w:val="Otsikko 1 Char"/>
    <w:basedOn w:val="Kappaleenoletusfontti"/>
    <w:link w:val="Otsikko1"/>
    <w:uiPriority w:val="9"/>
    <w:rsid w:val="00090D8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CFDAD-3D53-F948-8233-30943BC68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1382</Words>
  <Characters>11199</Characters>
  <Application>Microsoft Office Word</Application>
  <DocSecurity>0</DocSecurity>
  <Lines>93</Lines>
  <Paragraphs>25</Paragraphs>
  <ScaleCrop>false</ScaleCrop>
  <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Jaakko Tyrmi</dc:creator>
  <cp:keywords/>
  <dc:description/>
  <cp:lastModifiedBy>Jaakko Tyrmi</cp:lastModifiedBy>
  <cp:revision>1</cp:revision>
  <dcterms:created xsi:type="dcterms:W3CDTF">2019-10-03T19:29:00Z</dcterms:created>
  <dcterms:modified xsi:type="dcterms:W3CDTF">2019-10-03T19:32:00Z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http://www.zotero.org/styles/bioinformatics</vt:lpwstr>
  </property>
  <property fmtid="{D5CDD505-2E9C-101B-9397-08002B2CF9AE}" pid="5" name="Mendeley Recent Style Name 1_1">
    <vt:lpwstr>Bioinformatics</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http://www.zotero.org/styles/molecular-biology-and-evolution</vt:lpwstr>
  </property>
  <property fmtid="{D5CDD505-2E9C-101B-9397-08002B2CF9AE}" pid="17" name="Mendeley Recent Style Name 7_1">
    <vt:lpwstr>Molecular Biology and Evolution</vt:lpwstr>
  </property>
  <property fmtid="{D5CDD505-2E9C-101B-9397-08002B2CF9AE}" pid="18" name="Mendeley Recent Style Id 8_1">
    <vt:lpwstr>http://www.zotero.org/styles/molecular-ecology</vt:lpwstr>
  </property>
  <property fmtid="{D5CDD505-2E9C-101B-9397-08002B2CF9AE}" pid="19" name="Mendeley Recent Style Name 8_1">
    <vt:lpwstr>Molecular Ecology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dad62054-92ca-3839-a8ea-587a912d22e6</vt:lpwstr>
  </property>
  <property fmtid="{D5CDD505-2E9C-101B-9397-08002B2CF9AE}" pid="24" name="Mendeley Citation Style_1">
    <vt:lpwstr>http://www.zotero.org/styles/molecular-ecology</vt:lpwstr>
  </property>
</Properties>
</file>