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00"/>
        <w:gridCol w:w="1244"/>
        <w:gridCol w:w="946"/>
        <w:gridCol w:w="1211"/>
        <w:gridCol w:w="946"/>
        <w:gridCol w:w="1211"/>
      </w:tblGrid>
      <w:tr w:rsidR="001612FD" w:rsidRPr="003D26DC" w14:paraId="502BEF09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2E47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1E22" w14:textId="77777777" w:rsidR="001612FD" w:rsidRPr="003D26DC" w:rsidRDefault="001612FD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A4A4" w14:textId="77777777" w:rsidR="001612FD" w:rsidRPr="003D26DC" w:rsidRDefault="001612FD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szCs w:val="22"/>
                <w:lang w:eastAsia="en-US"/>
              </w:rPr>
              <w:t>Regier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FA73" w14:textId="77777777" w:rsidR="001612FD" w:rsidRPr="003D26DC" w:rsidRDefault="001612FD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szCs w:val="22"/>
                <w:lang w:eastAsia="en-US"/>
              </w:rPr>
              <w:t>OrthoDB</w:t>
            </w:r>
          </w:p>
        </w:tc>
      </w:tr>
      <w:tr w:rsidR="001612FD" w:rsidRPr="003D26DC" w14:paraId="1E13CEC2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FD44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011B" w14:textId="77777777" w:rsidR="001612FD" w:rsidRPr="003D26DC" w:rsidRDefault="001612FD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szCs w:val="22"/>
                <w:lang w:eastAsia="en-US"/>
              </w:rPr>
              <w:t>Read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35C2" w14:textId="77777777" w:rsidR="001612FD" w:rsidRPr="00FA6801" w:rsidRDefault="001612FD" w:rsidP="002D07A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en-US"/>
              </w:rPr>
            </w:pPr>
            <w:r w:rsidRPr="00FA6801">
              <w:rPr>
                <w:b/>
                <w:bCs/>
                <w:color w:val="000000"/>
                <w:sz w:val="18"/>
                <w:szCs w:val="22"/>
                <w:lang w:eastAsia="en-US"/>
              </w:rPr>
              <w:t>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4238" w14:textId="77777777" w:rsidR="001612FD" w:rsidRPr="00FA6801" w:rsidRDefault="001612FD" w:rsidP="002D07A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en-US"/>
              </w:rPr>
            </w:pPr>
            <w:r w:rsidRPr="00FA6801">
              <w:rPr>
                <w:b/>
                <w:bCs/>
                <w:color w:val="000000"/>
                <w:sz w:val="18"/>
                <w:szCs w:val="22"/>
                <w:lang w:eastAsia="en-US"/>
              </w:rPr>
              <w:t>Genome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4A04" w14:textId="77777777" w:rsidR="001612FD" w:rsidRPr="00FA6801" w:rsidRDefault="001612FD" w:rsidP="002D07A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en-US"/>
              </w:rPr>
            </w:pPr>
            <w:r w:rsidRPr="00FA6801">
              <w:rPr>
                <w:b/>
                <w:bCs/>
                <w:color w:val="000000"/>
                <w:sz w:val="18"/>
                <w:szCs w:val="22"/>
                <w:lang w:eastAsia="en-US"/>
              </w:rPr>
              <w:t>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55F8" w14:textId="77777777" w:rsidR="001612FD" w:rsidRPr="00FA6801" w:rsidRDefault="001612FD" w:rsidP="002D07A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en-US"/>
              </w:rPr>
            </w:pPr>
            <w:r w:rsidRPr="00FA6801">
              <w:rPr>
                <w:b/>
                <w:bCs/>
                <w:color w:val="000000"/>
                <w:sz w:val="18"/>
                <w:szCs w:val="22"/>
                <w:lang w:eastAsia="en-US"/>
              </w:rPr>
              <w:t>Genome Size</w:t>
            </w:r>
          </w:p>
        </w:tc>
      </w:tr>
      <w:tr w:rsidR="001612FD" w:rsidRPr="003D26DC" w14:paraId="3C3A010D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F9CC7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Amphizoa insolens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66E5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51,896,228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288D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5608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710.1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3C35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AC26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628.04</w:t>
            </w:r>
          </w:p>
        </w:tc>
      </w:tr>
      <w:tr w:rsidR="001612FD" w:rsidRPr="003D26DC" w14:paraId="252B47C9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21FF" w14:textId="77777777" w:rsidR="001612FD" w:rsidRPr="000F7F0F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DNA2544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F80B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701,179,000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B7FB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E6F0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1,291.1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4FD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93.36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C9C4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1,134.10</w:t>
            </w:r>
          </w:p>
        </w:tc>
      </w:tr>
      <w:tr w:rsidR="001612FD" w:rsidRPr="003D26DC" w14:paraId="2BB019B8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DACDC" w14:textId="77777777" w:rsidR="001612FD" w:rsidRPr="000F7F0F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284B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385,572,878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FC42D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52.22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C0CD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1,114.9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232C4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56.72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26F2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1,026.45</w:t>
            </w:r>
          </w:p>
        </w:tc>
      </w:tr>
      <w:tr w:rsidR="001612FD" w:rsidRPr="003D26DC" w14:paraId="194511CC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71CD" w14:textId="77777777" w:rsidR="001612FD" w:rsidRPr="000F7F0F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DNA5428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583A9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218,017,252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E175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36.66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111C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897.9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1D37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89B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811.80</w:t>
            </w:r>
          </w:p>
        </w:tc>
      </w:tr>
      <w:tr w:rsidR="001612FD" w:rsidRPr="003D26DC" w14:paraId="52829EC3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87570" w14:textId="77777777" w:rsidR="001612FD" w:rsidRPr="000F7F0F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DNA5433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DF13F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286,877,384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CFA7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44.06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903D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983.3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2D2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62051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903.33</w:t>
            </w:r>
          </w:p>
        </w:tc>
      </w:tr>
      <w:tr w:rsidR="001612FD" w:rsidRPr="003D26DC" w14:paraId="570969D0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88C9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Bembidion lividulum</w:t>
            </w:r>
            <w:r w:rsidRPr="003D26DC">
              <w:rPr>
                <w:color w:val="000000"/>
                <w:sz w:val="20"/>
                <w:lang w:eastAsia="en-US"/>
              </w:rPr>
              <w:t xml:space="preserve"> DNA4161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8114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48,990,136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B210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277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603.1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20FA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F72D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613.41</w:t>
            </w:r>
          </w:p>
        </w:tc>
      </w:tr>
      <w:tr w:rsidR="001612FD" w:rsidRPr="003D26DC" w14:paraId="32DDCF32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30E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DNA4821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388B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74,877,844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F8C7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27.47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9A53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411.5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262F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694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390.84</w:t>
            </w:r>
          </w:p>
        </w:tc>
      </w:tr>
      <w:tr w:rsidR="001612FD" w:rsidRPr="003D26DC" w14:paraId="12F6DC88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28C6E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21495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92,333,434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C4995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35.74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57A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390.1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7A5D3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40.73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15496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342.32</w:t>
            </w:r>
          </w:p>
        </w:tc>
      </w:tr>
      <w:tr w:rsidR="001612FD" w:rsidRPr="003D26DC" w14:paraId="47DFFB12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FF50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527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72,013,564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689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27.92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3BC2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389.5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54A75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64133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343.02</w:t>
            </w:r>
          </w:p>
        </w:tc>
      </w:tr>
      <w:tr w:rsidR="001612FD" w:rsidRPr="003D26DC" w14:paraId="52A1FAFF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FCE8F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28CD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53,119,248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E2D32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22.63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A025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354.5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48222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3243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351.43</w:t>
            </w:r>
          </w:p>
        </w:tc>
      </w:tr>
      <w:tr w:rsidR="001612FD" w:rsidRPr="003D26DC" w14:paraId="08EE9CDE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ED7E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1C0FC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69,184,928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53E98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27.27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05CA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383.1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F58B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1A332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358.92</w:t>
            </w:r>
          </w:p>
        </w:tc>
      </w:tr>
      <w:tr w:rsidR="001612FD" w:rsidRPr="003D26DC" w14:paraId="1B772E44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B31C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DNA3782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76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73,040,060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C422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18C8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769.1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6EA0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BEA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657.13</w:t>
            </w:r>
          </w:p>
        </w:tc>
      </w:tr>
      <w:tr w:rsidR="001612FD" w:rsidRPr="003D26DC" w14:paraId="7246A5B9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9CA7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DNA5435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4841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110,544,262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3761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32.22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8532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518.1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C7380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F960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488.68</w:t>
            </w:r>
          </w:p>
        </w:tc>
      </w:tr>
      <w:tr w:rsidR="001612FD" w:rsidRPr="003D26DC" w14:paraId="62AD4CF0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09FD9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DNA5436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10233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115,669,748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4B79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33.46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3EF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522.1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6E8B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36.19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87CEC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482.67</w:t>
            </w:r>
          </w:p>
        </w:tc>
      </w:tr>
      <w:tr w:rsidR="001612FD" w:rsidRPr="003D26DC" w14:paraId="652884DA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7FE9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Omoglymmius hamatus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D6A0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75,837,778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8ED1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C7D6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1,525.7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2367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6E4E8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1,295.26</w:t>
            </w:r>
          </w:p>
        </w:tc>
      </w:tr>
      <w:tr w:rsidR="001612FD" w:rsidRPr="003D26DC" w14:paraId="705CB9E0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80AD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52C1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64,380,826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96ACA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29576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1,144.9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C8DA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46CB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955.60</w:t>
            </w:r>
          </w:p>
        </w:tc>
      </w:tr>
      <w:tr w:rsidR="001612FD" w:rsidRPr="003D26DC" w14:paraId="2FE77611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C84D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0A9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67,306,770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BFE4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13.37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C4EF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760.3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AF36B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2D9B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802.69</w:t>
            </w:r>
          </w:p>
        </w:tc>
      </w:tr>
      <w:tr w:rsidR="001612FD" w:rsidRPr="003D26DC" w14:paraId="3FE43D5F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92D16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386B3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67,908,474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5578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2D1A2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855.5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1030D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EE357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752.00</w:t>
            </w:r>
          </w:p>
        </w:tc>
      </w:tr>
      <w:tr w:rsidR="001612FD" w:rsidRPr="003D26DC" w14:paraId="46D2B098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4B44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3CCE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86,110,430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8127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F9899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859.9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E00D8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4173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730.23</w:t>
            </w:r>
          </w:p>
        </w:tc>
      </w:tr>
      <w:tr w:rsidR="001612FD" w:rsidRPr="003D26DC" w14:paraId="60B33950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8C91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645E2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96,703,360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3B337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13.23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EFCB9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1,103.7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24ACF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C9596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847.71</w:t>
            </w:r>
          </w:p>
        </w:tc>
      </w:tr>
      <w:tr w:rsidR="001612FD" w:rsidRPr="003D26DC" w14:paraId="5A6FF5BB" w14:textId="77777777" w:rsidTr="002D07A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9724" w14:textId="77777777" w:rsidR="001612FD" w:rsidRPr="003D26DC" w:rsidRDefault="001612FD" w:rsidP="002D07AE">
            <w:pPr>
              <w:spacing w:line="240" w:lineRule="auto"/>
              <w:rPr>
                <w:color w:val="000000"/>
                <w:sz w:val="20"/>
                <w:szCs w:val="22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Trachypachus gibbsii</w:t>
            </w:r>
            <w:r w:rsidRPr="003D26DC">
              <w:rPr>
                <w:color w:val="000000"/>
                <w:sz w:val="20"/>
                <w:lang w:eastAsia="en-US"/>
              </w:rPr>
              <w:t xml:space="preserve"> DNA3786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526A7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71,720,174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8C80F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rFonts w:eastAsia="DengXian"/>
                <w:color w:val="000000"/>
                <w:sz w:val="20"/>
                <w:lang w:eastAsia="en-US"/>
              </w:rPr>
              <w:t>21.18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FB6CC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rFonts w:eastAsia="DengXian"/>
                <w:color w:val="000000"/>
                <w:sz w:val="20"/>
                <w:lang w:eastAsia="en-US"/>
              </w:rPr>
              <w:t xml:space="preserve">   </w:t>
            </w:r>
            <w:r w:rsidRPr="003D26DC">
              <w:rPr>
                <w:rFonts w:eastAsia="DengXian"/>
                <w:color w:val="000000"/>
                <w:sz w:val="20"/>
                <w:lang w:eastAsia="en-US"/>
              </w:rPr>
              <w:t xml:space="preserve">342.0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497A8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B0948" w14:textId="77777777" w:rsidR="001612FD" w:rsidRPr="003D26DC" w:rsidRDefault="001612FD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D51DD4">
              <w:rPr>
                <w:color w:val="000000"/>
                <w:sz w:val="20"/>
                <w:lang w:eastAsia="en-US"/>
              </w:rPr>
              <w:t>317.71</w:t>
            </w:r>
          </w:p>
        </w:tc>
      </w:tr>
    </w:tbl>
    <w:p w14:paraId="1432FA67" w14:textId="77777777" w:rsidR="001612FD" w:rsidRDefault="001612FD" w:rsidP="001612FD">
      <w:pPr>
        <w:spacing w:line="276" w:lineRule="auto"/>
        <w:rPr>
          <w:rFonts w:eastAsia="Arial"/>
          <w:sz w:val="22"/>
          <w:szCs w:val="22"/>
          <w:lang w:val="en" w:eastAsia="en-US"/>
        </w:rPr>
      </w:pPr>
    </w:p>
    <w:p w14:paraId="02BCF160" w14:textId="77777777" w:rsidR="001612FD" w:rsidRDefault="001612FD" w:rsidP="001612FD">
      <w:pPr>
        <w:spacing w:line="276" w:lineRule="auto"/>
        <w:rPr>
          <w:rFonts w:eastAsia="Arial"/>
          <w:lang w:val="en" w:eastAsia="en-US"/>
        </w:rPr>
      </w:pPr>
      <w:bookmarkStart w:id="0" w:name="_Toc33707276"/>
      <w:bookmarkStart w:id="1" w:name="_Toc33707570"/>
      <w:r>
        <w:rPr>
          <w:rFonts w:eastAsia="Arial"/>
          <w:lang w:val="en" w:eastAsia="en-US"/>
        </w:rPr>
        <w:t>Table S</w:t>
      </w:r>
      <w:r w:rsidRPr="006F77E1">
        <w:rPr>
          <w:rFonts w:eastAsia="Arial"/>
          <w:lang w:val="en" w:eastAsia="en-US"/>
        </w:rPr>
        <w:t>9. Summary</w:t>
      </w:r>
      <w:r w:rsidRPr="003D26DC">
        <w:rPr>
          <w:rFonts w:eastAsia="Arial"/>
          <w:lang w:val="en" w:eastAsia="en-US"/>
        </w:rPr>
        <w:t xml:space="preserve"> of read mapping genome size estimates for the Regier and OrthoDB gene sets using three different read filtering methods. Genome size is calculated by multiplying the read length by tota</w:t>
      </w:r>
      <w:bookmarkStart w:id="2" w:name="_GoBack"/>
      <w:bookmarkEnd w:id="2"/>
      <w:r w:rsidRPr="003D26DC">
        <w:rPr>
          <w:rFonts w:eastAsia="Arial"/>
          <w:lang w:val="en" w:eastAsia="en-US"/>
        </w:rPr>
        <w:t xml:space="preserve">l </w:t>
      </w:r>
      <w:r>
        <w:rPr>
          <w:rFonts w:eastAsia="Arial"/>
          <w:lang w:val="en" w:eastAsia="en-US"/>
        </w:rPr>
        <w:t>number of reads</w:t>
      </w:r>
      <w:r w:rsidRPr="003D26DC">
        <w:rPr>
          <w:rFonts w:eastAsia="Arial"/>
          <w:lang w:val="en" w:eastAsia="en-US"/>
        </w:rPr>
        <w:t>, then dividing by coverage. Genome sizes are given in Mb.</w:t>
      </w:r>
      <w:bookmarkEnd w:id="0"/>
      <w:bookmarkEnd w:id="1"/>
    </w:p>
    <w:p w14:paraId="2584ACF2" w14:textId="77777777" w:rsidR="001612FD" w:rsidRPr="003D26DC" w:rsidRDefault="001612FD" w:rsidP="001612FD">
      <w:pPr>
        <w:spacing w:line="276" w:lineRule="auto"/>
        <w:rPr>
          <w:rFonts w:eastAsia="Arial"/>
          <w:sz w:val="22"/>
          <w:szCs w:val="22"/>
          <w:lang w:val="en" w:eastAsia="en-US"/>
        </w:rPr>
      </w:pPr>
    </w:p>
    <w:p w14:paraId="7A936C64" w14:textId="362B4E9C" w:rsidR="003D26DC" w:rsidRPr="001612FD" w:rsidRDefault="001612FD" w:rsidP="001612FD">
      <w:pPr>
        <w:spacing w:line="276" w:lineRule="auto"/>
        <w:rPr>
          <w:rFonts w:eastAsia="Arial"/>
          <w:sz w:val="22"/>
          <w:szCs w:val="22"/>
          <w:lang w:val="en" w:eastAsia="en-US"/>
        </w:rPr>
      </w:pPr>
      <w:r w:rsidRPr="003D26DC">
        <w:rPr>
          <w:rFonts w:eastAsia="Arial"/>
          <w:sz w:val="22"/>
          <w:szCs w:val="22"/>
          <w:lang w:val="en" w:eastAsia="en-US"/>
        </w:rPr>
        <w:t>a. Samples made with DNA extracted from different tissues of the same individual.</w:t>
      </w:r>
    </w:p>
    <w:sectPr w:rsidR="003D26DC" w:rsidRPr="001612FD" w:rsidSect="00CA74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E804" w14:textId="77777777" w:rsidR="00880D56" w:rsidRDefault="00880D56">
      <w:r>
        <w:separator/>
      </w:r>
    </w:p>
  </w:endnote>
  <w:endnote w:type="continuationSeparator" w:id="0">
    <w:p w14:paraId="261A5A00" w14:textId="77777777" w:rsidR="00880D56" w:rsidRDefault="0088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18DC6" w14:textId="77777777" w:rsidR="00880D56" w:rsidRDefault="00880D56">
      <w:r>
        <w:separator/>
      </w:r>
    </w:p>
  </w:footnote>
  <w:footnote w:type="continuationSeparator" w:id="0">
    <w:p w14:paraId="1453EC4D" w14:textId="77777777" w:rsidR="00880D56" w:rsidRDefault="0088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517D" w14:textId="77777777" w:rsidR="00000000" w:rsidRDefault="00880D5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04DF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3F71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31B2E"/>
    <w:rsid w:val="001374AC"/>
    <w:rsid w:val="00141C3B"/>
    <w:rsid w:val="00145E62"/>
    <w:rsid w:val="00156A71"/>
    <w:rsid w:val="001600AE"/>
    <w:rsid w:val="00160B42"/>
    <w:rsid w:val="001612FD"/>
    <w:rsid w:val="00161A12"/>
    <w:rsid w:val="00161A17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6FC2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60743"/>
    <w:rsid w:val="0087292A"/>
    <w:rsid w:val="00873B04"/>
    <w:rsid w:val="00875AB6"/>
    <w:rsid w:val="00880BF8"/>
    <w:rsid w:val="00880D56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086D"/>
    <w:rsid w:val="008F426A"/>
    <w:rsid w:val="008F46D8"/>
    <w:rsid w:val="00903EA5"/>
    <w:rsid w:val="00903EC9"/>
    <w:rsid w:val="00913C29"/>
    <w:rsid w:val="00914972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5D7D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407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87BFD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A03B-C1BA-5B42-8687-E8AC09D7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2020-06-17T14:02:00Z</dcterms:created>
  <dcterms:modified xsi:type="dcterms:W3CDTF">2020-06-17T14:09:00Z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