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16E76" w:rsidRDefault="003274A4">
      <w:pPr>
        <w:widowControl w:val="0"/>
        <w:spacing w:line="240" w:lineRule="auto"/>
        <w:ind w:firstLine="360"/>
        <w:rPr>
          <w:rFonts w:ascii="Georgia" w:eastAsia="Georgia" w:hAnsi="Georgia" w:cs="Georgia"/>
        </w:rPr>
      </w:pPr>
      <w:bookmarkStart w:id="0" w:name="_GoBack"/>
      <w:bookmarkEnd w:id="0"/>
      <w:proofErr w:type="gramStart"/>
      <w:r>
        <w:rPr>
          <w:rFonts w:ascii="Helvetica Neue" w:eastAsia="Helvetica Neue" w:hAnsi="Helvetica Neue" w:cs="Helvetica Neue"/>
          <w:b/>
        </w:rPr>
        <w:t>Supplemental Figure S1.</w:t>
      </w:r>
      <w:proofErr w:type="gramEnd"/>
      <w:r>
        <w:rPr>
          <w:rFonts w:ascii="Georgia" w:eastAsia="Georgia" w:hAnsi="Georgia" w:cs="Georgia"/>
        </w:rPr>
        <w:t xml:space="preserve"> </w:t>
      </w:r>
      <w:proofErr w:type="gramStart"/>
      <w:r>
        <w:rPr>
          <w:rFonts w:ascii="Georgia" w:eastAsia="Georgia" w:hAnsi="Georgia" w:cs="Georgia"/>
        </w:rPr>
        <w:t>A closed inland culture system.</w:t>
      </w:r>
      <w:proofErr w:type="gramEnd"/>
      <w:r>
        <w:rPr>
          <w:rFonts w:ascii="Georgia" w:eastAsia="Georgia" w:hAnsi="Georgia" w:cs="Georgia"/>
        </w:rPr>
        <w:t xml:space="preserve"> (A-C) Animals were cultured in 20L tank (A), polypropylene 5L beaker (B) and 2L aquarium tank (C). (D) The bar shows the survival rate of animals. (E) The bar shows the proportion of animals having sperm. </w:t>
      </w:r>
      <w:proofErr w:type="gramStart"/>
      <w:r>
        <w:rPr>
          <w:rFonts w:ascii="Georgia" w:eastAsia="Georgia" w:hAnsi="Georgia" w:cs="Georgia"/>
        </w:rPr>
        <w:t>n</w:t>
      </w:r>
      <w:proofErr w:type="gramEnd"/>
      <w:r>
        <w:rPr>
          <w:rFonts w:ascii="Georgia" w:eastAsia="Georgia" w:hAnsi="Georgia" w:cs="Georgia"/>
        </w:rPr>
        <w:t xml:space="preserve"> shows the number</w:t>
      </w:r>
      <w:r>
        <w:rPr>
          <w:rFonts w:ascii="Georgia" w:eastAsia="Georgia" w:hAnsi="Georgia" w:cs="Georgia"/>
        </w:rPr>
        <w:t>s of individuals.</w:t>
      </w:r>
    </w:p>
    <w:p w14:paraId="00000002" w14:textId="77777777" w:rsidR="00B16E76" w:rsidRDefault="00B16E76">
      <w:pPr>
        <w:widowControl w:val="0"/>
        <w:spacing w:line="240" w:lineRule="auto"/>
        <w:rPr>
          <w:rFonts w:ascii="Georgia" w:eastAsia="Georgia" w:hAnsi="Georgia" w:cs="Georgia"/>
        </w:rPr>
      </w:pPr>
    </w:p>
    <w:p w14:paraId="00000003" w14:textId="77777777" w:rsidR="00B16E76" w:rsidRDefault="003274A4">
      <w:pPr>
        <w:widowControl w:val="0"/>
        <w:spacing w:line="240" w:lineRule="auto"/>
        <w:ind w:firstLine="360"/>
        <w:rPr>
          <w:rFonts w:ascii="Georgia" w:eastAsia="Georgia" w:hAnsi="Georgia" w:cs="Georgia"/>
        </w:rPr>
      </w:pPr>
      <w:proofErr w:type="gramStart"/>
      <w:r>
        <w:rPr>
          <w:rFonts w:ascii="Helvetica Neue" w:eastAsia="Helvetica Neue" w:hAnsi="Helvetica Neue" w:cs="Helvetica Neue"/>
          <w:b/>
        </w:rPr>
        <w:t>Supplemental Figure S2.</w:t>
      </w:r>
      <w:proofErr w:type="gramEnd"/>
      <w:r>
        <w:rPr>
          <w:rFonts w:ascii="Georgia" w:eastAsia="Georgia" w:hAnsi="Georgia" w:cs="Georgia"/>
        </w:rPr>
        <w:t xml:space="preserve"> </w:t>
      </w:r>
      <w:proofErr w:type="gramStart"/>
      <w:r>
        <w:rPr>
          <w:rFonts w:ascii="Georgia" w:eastAsia="Georgia" w:hAnsi="Georgia" w:cs="Georgia"/>
        </w:rPr>
        <w:t>Genotyping of F1 juveniles at marker 2 gene locus.</w:t>
      </w:r>
      <w:proofErr w:type="gramEnd"/>
      <w:r>
        <w:rPr>
          <w:rFonts w:ascii="Georgia" w:eastAsia="Georgia" w:hAnsi="Georgia" w:cs="Georgia"/>
        </w:rPr>
        <w:t xml:space="preserve"> (A) PCR was done with primers designed at marker 1 and marker 2 gene loci </w:t>
      </w:r>
      <w:hyperlink r:id="rId5">
        <w:r>
          <w:rPr>
            <w:rFonts w:ascii="Georgia" w:eastAsia="Georgia" w:hAnsi="Georgia" w:cs="Georgia"/>
          </w:rPr>
          <w:t xml:space="preserve">(Suzuki </w:t>
        </w:r>
      </w:hyperlink>
      <w:hyperlink r:id="rId6">
        <w:r>
          <w:rPr>
            <w:rFonts w:ascii="Georgia" w:eastAsia="Georgia" w:hAnsi="Georgia" w:cs="Georgia"/>
            <w:i/>
          </w:rPr>
          <w:t>et al.</w:t>
        </w:r>
      </w:hyperlink>
      <w:hyperlink r:id="rId7">
        <w:r>
          <w:rPr>
            <w:rFonts w:ascii="Georgia" w:eastAsia="Georgia" w:hAnsi="Georgia" w:cs="Georgia"/>
          </w:rPr>
          <w:t xml:space="preserve"> 2005)</w:t>
        </w:r>
      </w:hyperlink>
      <w:r>
        <w:rPr>
          <w:rFonts w:ascii="Georgia" w:eastAsia="Georgia" w:hAnsi="Georgia" w:cs="Georgia"/>
        </w:rPr>
        <w:t xml:space="preserve"> from genomic DNAs of F0 </w:t>
      </w:r>
      <w:r>
        <w:rPr>
          <w:rFonts w:ascii="Georgia" w:eastAsia="Georgia" w:hAnsi="Georgia" w:cs="Georgia"/>
          <w:i/>
        </w:rPr>
        <w:t xml:space="preserve">C. </w:t>
      </w:r>
      <w:proofErr w:type="spellStart"/>
      <w:r>
        <w:rPr>
          <w:rFonts w:ascii="Georgia" w:eastAsia="Georgia" w:hAnsi="Georgia" w:cs="Georgia"/>
          <w:i/>
        </w:rPr>
        <w:t>robusta</w:t>
      </w:r>
      <w:proofErr w:type="spellEnd"/>
      <w:r>
        <w:rPr>
          <w:rFonts w:ascii="Georgia" w:eastAsia="Georgia" w:hAnsi="Georgia" w:cs="Georgia"/>
        </w:rPr>
        <w:t xml:space="preserve"> and </w:t>
      </w:r>
      <w:r>
        <w:rPr>
          <w:rFonts w:ascii="Georgia" w:eastAsia="Georgia" w:hAnsi="Georgia" w:cs="Georgia"/>
          <w:i/>
        </w:rPr>
        <w:t>C. intestinalis</w:t>
      </w:r>
      <w:r>
        <w:rPr>
          <w:rFonts w:ascii="Georgia" w:eastAsia="Georgia" w:hAnsi="Georgia" w:cs="Georgia"/>
        </w:rPr>
        <w:t xml:space="preserve"> sperm. (B) Three F1 juveniles in each type were analyzed by PCR with marker 2 primers. (C) PCR was done</w:t>
      </w:r>
      <w:r>
        <w:rPr>
          <w:rFonts w:ascii="Georgia" w:eastAsia="Georgia" w:hAnsi="Georgia" w:cs="Georgia"/>
        </w:rPr>
        <w:t xml:space="preserve"> with marker 2 primers with genomic DNAs collected from oral siphon and sperm of F1 </w:t>
      </w:r>
      <w:r>
        <w:rPr>
          <w:rFonts w:ascii="Georgia" w:eastAsia="Georgia" w:hAnsi="Georgia" w:cs="Georgia"/>
          <w:i/>
        </w:rPr>
        <w:t xml:space="preserve">C. </w:t>
      </w:r>
      <w:proofErr w:type="spellStart"/>
      <w:r>
        <w:rPr>
          <w:rFonts w:ascii="Georgia" w:eastAsia="Georgia" w:hAnsi="Georgia" w:cs="Georgia"/>
          <w:i/>
        </w:rPr>
        <w:t>robusta</w:t>
      </w:r>
      <w:proofErr w:type="spellEnd"/>
      <w:r>
        <w:rPr>
          <w:rFonts w:ascii="Georgia" w:eastAsia="Georgia" w:hAnsi="Georgia" w:cs="Georgia"/>
        </w:rPr>
        <w:t xml:space="preserve">, </w:t>
      </w:r>
      <w:proofErr w:type="spellStart"/>
      <w:r>
        <w:rPr>
          <w:rFonts w:ascii="Georgia" w:eastAsia="Georgia" w:hAnsi="Georgia" w:cs="Georgia"/>
        </w:rPr>
        <w:t>RxI</w:t>
      </w:r>
      <w:proofErr w:type="spellEnd"/>
      <w:r>
        <w:rPr>
          <w:rFonts w:ascii="Georgia" w:eastAsia="Georgia" w:hAnsi="Georgia" w:cs="Georgia"/>
        </w:rPr>
        <w:t xml:space="preserve"> hybrid, </w:t>
      </w:r>
      <w:proofErr w:type="spellStart"/>
      <w:r>
        <w:rPr>
          <w:rFonts w:ascii="Georgia" w:eastAsia="Georgia" w:hAnsi="Georgia" w:cs="Georgia"/>
        </w:rPr>
        <w:t>IxR</w:t>
      </w:r>
      <w:proofErr w:type="spellEnd"/>
      <w:r>
        <w:rPr>
          <w:rFonts w:ascii="Georgia" w:eastAsia="Georgia" w:hAnsi="Georgia" w:cs="Georgia"/>
        </w:rPr>
        <w:t xml:space="preserve"> hybrid and </w:t>
      </w:r>
      <w:r>
        <w:rPr>
          <w:rFonts w:ascii="Georgia" w:eastAsia="Georgia" w:hAnsi="Georgia" w:cs="Georgia"/>
          <w:i/>
        </w:rPr>
        <w:t>intestinalis</w:t>
      </w:r>
      <w:r>
        <w:rPr>
          <w:rFonts w:ascii="Georgia" w:eastAsia="Georgia" w:hAnsi="Georgia" w:cs="Georgia"/>
        </w:rPr>
        <w:t xml:space="preserve"> mature animals. (D) Sequences were read from the PCR products.</w:t>
      </w:r>
    </w:p>
    <w:p w14:paraId="00000004" w14:textId="77777777" w:rsidR="00B16E76" w:rsidRDefault="00B16E76">
      <w:pPr>
        <w:widowControl w:val="0"/>
        <w:spacing w:line="240" w:lineRule="auto"/>
        <w:ind w:firstLine="360"/>
        <w:rPr>
          <w:rFonts w:ascii="Georgia" w:eastAsia="Georgia" w:hAnsi="Georgia" w:cs="Georgia"/>
        </w:rPr>
      </w:pPr>
    </w:p>
    <w:p w14:paraId="00000005" w14:textId="77777777" w:rsidR="00B16E76" w:rsidRDefault="003274A4">
      <w:pPr>
        <w:widowControl w:val="0"/>
        <w:spacing w:line="240" w:lineRule="auto"/>
        <w:ind w:firstLine="360"/>
        <w:rPr>
          <w:rFonts w:ascii="Georgia" w:eastAsia="Georgia" w:hAnsi="Georgia" w:cs="Georgia"/>
        </w:rPr>
      </w:pPr>
      <w:proofErr w:type="gramStart"/>
      <w:r>
        <w:rPr>
          <w:rFonts w:ascii="Helvetica Neue" w:eastAsia="Helvetica Neue" w:hAnsi="Helvetica Neue" w:cs="Helvetica Neue"/>
          <w:b/>
        </w:rPr>
        <w:t>Supplemental Figure S3.</w:t>
      </w:r>
      <w:proofErr w:type="gramEnd"/>
      <w:r>
        <w:rPr>
          <w:rFonts w:ascii="Georgia" w:eastAsia="Georgia" w:hAnsi="Georgia" w:cs="Georgia"/>
        </w:rPr>
        <w:t xml:space="preserve"> </w:t>
      </w:r>
      <w:proofErr w:type="gramStart"/>
      <w:r>
        <w:rPr>
          <w:rFonts w:ascii="Georgia" w:eastAsia="Georgia" w:hAnsi="Georgia" w:cs="Georgia"/>
        </w:rPr>
        <w:t xml:space="preserve">Genotyping of F1 juveniles at </w:t>
      </w:r>
      <w:r>
        <w:rPr>
          <w:rFonts w:ascii="Georgia" w:eastAsia="Georgia" w:hAnsi="Georgia" w:cs="Georgia"/>
          <w:i/>
        </w:rPr>
        <w:t>My</w:t>
      </w:r>
      <w:r>
        <w:rPr>
          <w:rFonts w:ascii="Georgia" w:eastAsia="Georgia" w:hAnsi="Georgia" w:cs="Georgia"/>
          <w:i/>
        </w:rPr>
        <w:t>l2/5/10</w:t>
      </w:r>
      <w:r>
        <w:rPr>
          <w:rFonts w:ascii="Georgia" w:eastAsia="Georgia" w:hAnsi="Georgia" w:cs="Georgia"/>
        </w:rPr>
        <w:t xml:space="preserve"> gene locus.</w:t>
      </w:r>
      <w:proofErr w:type="gramEnd"/>
      <w:r>
        <w:rPr>
          <w:rFonts w:ascii="Georgia" w:eastAsia="Georgia" w:hAnsi="Georgia" w:cs="Georgia"/>
        </w:rPr>
        <w:t xml:space="preserve"> (A, B) PCR was done from genomic DNA of F0 </w:t>
      </w:r>
      <w:r>
        <w:rPr>
          <w:rFonts w:ascii="Georgia" w:eastAsia="Georgia" w:hAnsi="Georgia" w:cs="Georgia"/>
          <w:i/>
        </w:rPr>
        <w:t xml:space="preserve">C. </w:t>
      </w:r>
      <w:proofErr w:type="spellStart"/>
      <w:r>
        <w:rPr>
          <w:rFonts w:ascii="Georgia" w:eastAsia="Georgia" w:hAnsi="Georgia" w:cs="Georgia"/>
          <w:i/>
        </w:rPr>
        <w:t>robusta</w:t>
      </w:r>
      <w:proofErr w:type="spellEnd"/>
      <w:r>
        <w:rPr>
          <w:rFonts w:ascii="Georgia" w:eastAsia="Georgia" w:hAnsi="Georgia" w:cs="Georgia"/>
        </w:rPr>
        <w:t xml:space="preserve"> (A) and </w:t>
      </w:r>
      <w:r>
        <w:rPr>
          <w:rFonts w:ascii="Georgia" w:eastAsia="Georgia" w:hAnsi="Georgia" w:cs="Georgia"/>
          <w:i/>
        </w:rPr>
        <w:t>C. intestinalis</w:t>
      </w:r>
      <w:r>
        <w:rPr>
          <w:rFonts w:ascii="Georgia" w:eastAsia="Georgia" w:hAnsi="Georgia" w:cs="Georgia"/>
        </w:rPr>
        <w:t xml:space="preserve"> (B) sperm. (C) Alignment of </w:t>
      </w:r>
      <w:r>
        <w:rPr>
          <w:rFonts w:ascii="Georgia" w:eastAsia="Georgia" w:hAnsi="Georgia" w:cs="Georgia"/>
          <w:i/>
        </w:rPr>
        <w:t>Myl2/5/10</w:t>
      </w:r>
      <w:r>
        <w:rPr>
          <w:rFonts w:ascii="Georgia" w:eastAsia="Georgia" w:hAnsi="Georgia" w:cs="Georgia"/>
        </w:rPr>
        <w:t xml:space="preserve"> sequence between </w:t>
      </w:r>
      <w:r>
        <w:rPr>
          <w:rFonts w:ascii="Georgia" w:eastAsia="Georgia" w:hAnsi="Georgia" w:cs="Georgia"/>
          <w:i/>
        </w:rPr>
        <w:t xml:space="preserve">C. </w:t>
      </w:r>
      <w:proofErr w:type="spellStart"/>
      <w:r>
        <w:rPr>
          <w:rFonts w:ascii="Georgia" w:eastAsia="Georgia" w:hAnsi="Georgia" w:cs="Georgia"/>
          <w:i/>
        </w:rPr>
        <w:t>robusta</w:t>
      </w:r>
      <w:proofErr w:type="spellEnd"/>
      <w:r>
        <w:rPr>
          <w:rFonts w:ascii="Georgia" w:eastAsia="Georgia" w:hAnsi="Georgia" w:cs="Georgia"/>
        </w:rPr>
        <w:t xml:space="preserve"> and </w:t>
      </w:r>
      <w:r>
        <w:rPr>
          <w:rFonts w:ascii="Georgia" w:eastAsia="Georgia" w:hAnsi="Georgia" w:cs="Georgia"/>
          <w:i/>
        </w:rPr>
        <w:t>intestinalis</w:t>
      </w:r>
      <w:r>
        <w:rPr>
          <w:rFonts w:ascii="Georgia" w:eastAsia="Georgia" w:hAnsi="Georgia" w:cs="Georgia"/>
        </w:rPr>
        <w:t>. Cyan shows exon sequence. Arrow shows sequence primer. Underlines show the</w:t>
      </w:r>
      <w:r>
        <w:rPr>
          <w:rFonts w:ascii="Georgia" w:eastAsia="Georgia" w:hAnsi="Georgia" w:cs="Georgia"/>
        </w:rPr>
        <w:t xml:space="preserve"> region of sequence in Figures 5C, S2D and S3E. (D) Three F1 juveniles in each strain were analyzed by PCR with </w:t>
      </w:r>
      <w:r>
        <w:rPr>
          <w:rFonts w:ascii="Georgia" w:eastAsia="Georgia" w:hAnsi="Georgia" w:cs="Georgia"/>
          <w:i/>
        </w:rPr>
        <w:t>Myl2/5/10</w:t>
      </w:r>
      <w:r>
        <w:rPr>
          <w:rFonts w:ascii="Georgia" w:eastAsia="Georgia" w:hAnsi="Georgia" w:cs="Georgia"/>
        </w:rPr>
        <w:t xml:space="preserve"> primers. (E) Sequences were read from the PCR products.</w:t>
      </w:r>
    </w:p>
    <w:p w14:paraId="00000006" w14:textId="77777777" w:rsidR="00B16E76" w:rsidRDefault="00B16E76"/>
    <w:sectPr w:rsidR="00B16E7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
  <w:rsids>
    <w:rsidRoot w:val="00B16E76"/>
    <w:rsid w:val="003274A4"/>
    <w:rsid w:val="00B1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perpile.com/c/x8DmRw/m4K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aperpile.com/c/x8DmRw/m4Kj" TargetMode="External"/><Relationship Id="rId5" Type="http://schemas.openxmlformats.org/officeDocument/2006/relationships/hyperlink" Target="https://paperpile.com/c/x8DmRw/m4K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1261</Characters>
  <Application>Microsoft Office Word</Application>
  <DocSecurity>0</DocSecurity>
  <Lines>10</Lines>
  <Paragraphs>2</Paragraphs>
  <ScaleCrop>false</ScaleCrop>
  <Company>Microsoft</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 Kipp</dc:creator>
  <cp:lastModifiedBy>Copy Editor</cp:lastModifiedBy>
  <cp:revision>2</cp:revision>
  <dcterms:created xsi:type="dcterms:W3CDTF">2020-06-09T13:25:00Z</dcterms:created>
  <dcterms:modified xsi:type="dcterms:W3CDTF">2020-06-09T13:25:00Z</dcterms:modified>
</cp:coreProperties>
</file>