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034" w:rsidRPr="00AF4133" w:rsidRDefault="008A145C" w:rsidP="00AF4133">
      <w:pPr>
        <w:pStyle w:val="Kuvaotsikko"/>
        <w:rPr>
          <w:rFonts w:eastAsiaTheme="minorEastAsia"/>
          <w:b/>
          <w:bCs/>
          <w:i w:val="0"/>
          <w:iCs w:val="0"/>
          <w:color w:val="000000" w:themeColor="text1"/>
          <w:lang w:val="en-US"/>
        </w:rPr>
      </w:pPr>
      <w:r w:rsidRPr="008A145C">
        <w:rPr>
          <w:b/>
          <w:bCs/>
          <w:i w:val="0"/>
          <w:iCs w:val="0"/>
          <w:color w:val="000000" w:themeColor="text1"/>
          <w:lang w:val="en-US"/>
        </w:rPr>
        <w:t>Table S1. Examples of interesting outliers detected in the linear regression outlier analysis. References mentioned in the Description column are listed below.</w:t>
      </w:r>
      <w:r w:rsidR="00AF4133">
        <w:rPr>
          <w:b/>
          <w:bCs/>
          <w:i w:val="0"/>
          <w:iCs w:val="0"/>
          <w:color w:val="000000" w:themeColor="text1"/>
          <w:lang w:val="en-US"/>
        </w:rPr>
        <w:t xml:space="preserve"> </w:t>
      </w:r>
    </w:p>
    <w:p w:rsidR="003B0034" w:rsidRPr="00D725A7" w:rsidRDefault="003B0034" w:rsidP="003B0034">
      <w:pPr>
        <w:rPr>
          <w:color w:val="000000" w:themeColor="text1"/>
        </w:rPr>
      </w:pPr>
    </w:p>
    <w:tbl>
      <w:tblPr>
        <w:tblStyle w:val="TaulukkoRuudukko"/>
        <w:tblW w:w="0" w:type="auto"/>
        <w:tblLook w:val="04A0" w:firstRow="1" w:lastRow="0" w:firstColumn="1" w:lastColumn="0" w:noHBand="0" w:noVBand="1"/>
      </w:tblPr>
      <w:tblGrid>
        <w:gridCol w:w="2405"/>
        <w:gridCol w:w="1276"/>
        <w:gridCol w:w="3535"/>
        <w:gridCol w:w="2406"/>
      </w:tblGrid>
      <w:tr w:rsidR="003B0034" w:rsidRPr="00D725A7" w:rsidTr="00B90D1F">
        <w:tc>
          <w:tcPr>
            <w:tcW w:w="2405" w:type="dxa"/>
          </w:tcPr>
          <w:p w:rsidR="003B0034" w:rsidRPr="00D725A7" w:rsidRDefault="003B0034" w:rsidP="00B90D1F">
            <w:pPr>
              <w:rPr>
                <w:color w:val="000000" w:themeColor="text1"/>
                <w:sz w:val="13"/>
                <w:szCs w:val="13"/>
              </w:rPr>
            </w:pPr>
            <w:r w:rsidRPr="00D725A7">
              <w:rPr>
                <w:color w:val="000000" w:themeColor="text1"/>
                <w:sz w:val="13"/>
                <w:szCs w:val="13"/>
              </w:rPr>
              <w:t>Gene name</w:t>
            </w:r>
          </w:p>
        </w:tc>
        <w:tc>
          <w:tcPr>
            <w:tcW w:w="1276" w:type="dxa"/>
          </w:tcPr>
          <w:p w:rsidR="003B0034" w:rsidRPr="00D725A7" w:rsidRDefault="003B0034" w:rsidP="00B90D1F">
            <w:pPr>
              <w:rPr>
                <w:color w:val="000000" w:themeColor="text1"/>
                <w:sz w:val="13"/>
                <w:szCs w:val="13"/>
              </w:rPr>
            </w:pPr>
            <w:r w:rsidRPr="00D725A7">
              <w:rPr>
                <w:color w:val="000000" w:themeColor="text1"/>
                <w:sz w:val="13"/>
                <w:szCs w:val="13"/>
              </w:rPr>
              <w:t>Scaffold name</w:t>
            </w:r>
          </w:p>
        </w:tc>
        <w:tc>
          <w:tcPr>
            <w:tcW w:w="3535" w:type="dxa"/>
          </w:tcPr>
          <w:p w:rsidR="003B0034" w:rsidRPr="00D725A7" w:rsidRDefault="003B0034" w:rsidP="00B90D1F">
            <w:pPr>
              <w:rPr>
                <w:color w:val="000000" w:themeColor="text1"/>
                <w:sz w:val="13"/>
                <w:szCs w:val="13"/>
              </w:rPr>
            </w:pPr>
            <w:r w:rsidRPr="00D725A7">
              <w:rPr>
                <w:color w:val="000000" w:themeColor="text1"/>
                <w:sz w:val="13"/>
                <w:szCs w:val="13"/>
              </w:rPr>
              <w:t>Position in scaffold</w:t>
            </w:r>
          </w:p>
        </w:tc>
        <w:tc>
          <w:tcPr>
            <w:tcW w:w="2406" w:type="dxa"/>
          </w:tcPr>
          <w:p w:rsidR="003B0034" w:rsidRPr="00D725A7" w:rsidRDefault="003B0034" w:rsidP="00B90D1F">
            <w:pPr>
              <w:rPr>
                <w:color w:val="000000" w:themeColor="text1"/>
                <w:sz w:val="13"/>
                <w:szCs w:val="13"/>
              </w:rPr>
            </w:pPr>
            <w:r w:rsidRPr="00D725A7">
              <w:rPr>
                <w:color w:val="000000" w:themeColor="text1"/>
                <w:sz w:val="13"/>
                <w:szCs w:val="13"/>
              </w:rPr>
              <w:t>Description</w:t>
            </w:r>
          </w:p>
        </w:tc>
      </w:tr>
      <w:tr w:rsidR="003B0034" w:rsidRPr="00D725A7" w:rsidTr="00B90D1F">
        <w:tc>
          <w:tcPr>
            <w:tcW w:w="2405" w:type="dxa"/>
          </w:tcPr>
          <w:p w:rsidR="003B0034" w:rsidRPr="00AA213C" w:rsidRDefault="003B0034" w:rsidP="00B90D1F">
            <w:pPr>
              <w:rPr>
                <w:color w:val="000000" w:themeColor="text1"/>
                <w:sz w:val="13"/>
                <w:szCs w:val="13"/>
              </w:rPr>
            </w:pPr>
            <w:r w:rsidRPr="00AA213C">
              <w:rPr>
                <w:color w:val="000000" w:themeColor="text1"/>
                <w:sz w:val="13"/>
                <w:szCs w:val="13"/>
              </w:rPr>
              <w:t>NPK1</w:t>
            </w:r>
          </w:p>
        </w:tc>
        <w:tc>
          <w:tcPr>
            <w:tcW w:w="1276" w:type="dxa"/>
          </w:tcPr>
          <w:p w:rsidR="003B0034" w:rsidRPr="00AA213C" w:rsidRDefault="003B0034" w:rsidP="00B90D1F">
            <w:pPr>
              <w:rPr>
                <w:color w:val="000000" w:themeColor="text1"/>
                <w:sz w:val="13"/>
                <w:szCs w:val="13"/>
              </w:rPr>
            </w:pPr>
            <w:r w:rsidRPr="00AA213C">
              <w:rPr>
                <w:color w:val="000000" w:themeColor="text1"/>
                <w:sz w:val="13"/>
                <w:szCs w:val="13"/>
              </w:rPr>
              <w:t>scaffold902027</w:t>
            </w:r>
          </w:p>
        </w:tc>
        <w:tc>
          <w:tcPr>
            <w:tcW w:w="3535" w:type="dxa"/>
          </w:tcPr>
          <w:p w:rsidR="003B0034" w:rsidRPr="00AA213C" w:rsidRDefault="003B0034" w:rsidP="00B90D1F">
            <w:pPr>
              <w:rPr>
                <w:color w:val="000000" w:themeColor="text1"/>
                <w:sz w:val="13"/>
                <w:szCs w:val="13"/>
              </w:rPr>
            </w:pPr>
            <w:r>
              <w:rPr>
                <w:color w:val="000000" w:themeColor="text1"/>
                <w:sz w:val="13"/>
                <w:szCs w:val="13"/>
              </w:rPr>
              <w:t xml:space="preserve">73997, </w:t>
            </w:r>
            <w:r w:rsidRPr="00AA213C">
              <w:rPr>
                <w:color w:val="000000" w:themeColor="text1"/>
                <w:sz w:val="13"/>
                <w:szCs w:val="13"/>
              </w:rPr>
              <w:t>74052</w:t>
            </w:r>
            <w:r>
              <w:rPr>
                <w:color w:val="000000" w:themeColor="text1"/>
                <w:sz w:val="13"/>
                <w:szCs w:val="13"/>
              </w:rPr>
              <w:t xml:space="preserve">, </w:t>
            </w:r>
            <w:r w:rsidRPr="00AA213C">
              <w:rPr>
                <w:color w:val="000000" w:themeColor="text1"/>
                <w:sz w:val="13"/>
                <w:szCs w:val="13"/>
              </w:rPr>
              <w:t>7405</w:t>
            </w:r>
            <w:r>
              <w:rPr>
                <w:color w:val="000000" w:themeColor="text1"/>
                <w:sz w:val="13"/>
                <w:szCs w:val="13"/>
              </w:rPr>
              <w:t>8</w:t>
            </w:r>
          </w:p>
        </w:tc>
        <w:tc>
          <w:tcPr>
            <w:tcW w:w="2406" w:type="dxa"/>
          </w:tcPr>
          <w:p w:rsidR="003B0034" w:rsidRPr="00AA213C" w:rsidRDefault="003B0034" w:rsidP="00B90D1F">
            <w:pPr>
              <w:rPr>
                <w:color w:val="000000" w:themeColor="text1"/>
                <w:sz w:val="13"/>
                <w:szCs w:val="13"/>
              </w:rPr>
            </w:pPr>
            <w:r>
              <w:rPr>
                <w:color w:val="000000" w:themeColor="text1"/>
                <w:sz w:val="13"/>
                <w:szCs w:val="13"/>
              </w:rPr>
              <w:t xml:space="preserve">Has a role in pathogen resistance responses in tobacco </w:t>
            </w:r>
            <w:r>
              <w:rPr>
                <w:color w:val="000000" w:themeColor="text1"/>
                <w:sz w:val="13"/>
                <w:szCs w:val="13"/>
              </w:rPr>
              <w:fldChar w:fldCharType="begin" w:fldLock="1"/>
            </w:r>
            <w:r>
              <w:rPr>
                <w:color w:val="000000" w:themeColor="text1"/>
                <w:sz w:val="13"/>
                <w:szCs w:val="13"/>
              </w:rPr>
              <w:instrText>ADDIN CSL_CITATION {"citationItems":[{"id":"ITEM-1","itemData":{"DOI":"10.1016/S1534-5807(02)00205-8","ISSN":"15345807","PMID":"12194859","abstract":"Mitogen-activated protein kinase (MAPK) cascades are rapidly activated upon plant recognition of invading pathogens. Here, we describe the use of virus-induced gene silencing (VIGS) to study the role of candidate plant MAP kinase kinase kinase (MAPKKK) homologs of human MEKK1 in pathogen-resistance pathways. We demonstrate that silencing expression of a tobacco MAPKKK, Nicotiana Protein Kinase 1 (NPK1), interferes with the function of the disease-resistance genes N, Bs2, and Rx, but does not affect Pto- and Cf4-mediated resistance. Further, NPK1-silenced plants also exhibit reduced cell size, defective cytokinesis, and an overall dwarf phenotype. Our results provide evidence that NPK1 functions in the regulation of N-, Bs2-, and Rx-mediated resistance responses and may play a role in one or more MAPK cascades, regulating multiple cellular processes.","author":[{"dropping-particle":"","family":"Jin","given":"Hailing","non-dropping-particle":"","parse-names":false,"suffix":""},{"dropping-particle":"","family":"Axtell","given":"Michael J.","non-dropping-particle":"","parse-names":false,"suffix":""},{"dropping-particle":"","family":"Dahlbeck","given":"Douglas","non-dropping-particle":"","parse-names":false,"suffix":""},{"dropping-particle":"","family":"Ekwenna","given":"Obi","non-dropping-particle":"","parse-names":false,"suffix":""},{"dropping-particle":"","family":"Zhang","given":"Shuqun","non-dropping-particle":"","parse-names":false,"suffix":""},{"dropping-particle":"","family":"Staskawicz","given":"Brian","non-dropping-particle":"","parse-names":false,"suffix":""},{"dropping-particle":"","family":"Baker","given":"Barbara","non-dropping-particle":"","parse-names":false,"suffix":""}],"container-title":"Developmental Cell","id":"ITEM-1","issue":"2","issued":{"date-parts":[["2002"]]},"page":"291-297","title":"NPK1, and MEKK1-like mitogen-activated protein kinase kinase kinase, regulates innate immunity and development in plants","type":"article-journal","volume":"3"},"uris":["http://www.mendeley.com/documents/?uuid=119028a4-be1c-4928-ae2f-46625fc3ed09"]}],"mendeley":{"formattedCitation":"(Jin et al., 2002)","plainTextFormattedCitation":"(Jin et al., 2002)","previouslyFormattedCitation":"(Jin et al., 2002)"},"properties":{"noteIndex":0},"schema":"https://github.com/citation-style-language/schema/raw/master/csl-citation.json"}</w:instrText>
            </w:r>
            <w:r>
              <w:rPr>
                <w:color w:val="000000" w:themeColor="text1"/>
                <w:sz w:val="13"/>
                <w:szCs w:val="13"/>
              </w:rPr>
              <w:fldChar w:fldCharType="separate"/>
            </w:r>
            <w:r w:rsidRPr="00AA213C">
              <w:rPr>
                <w:noProof/>
                <w:color w:val="000000" w:themeColor="text1"/>
                <w:sz w:val="13"/>
                <w:szCs w:val="13"/>
              </w:rPr>
              <w:t>(Jin et al., 2002)</w:t>
            </w:r>
            <w:r>
              <w:rPr>
                <w:color w:val="000000" w:themeColor="text1"/>
                <w:sz w:val="13"/>
                <w:szCs w:val="13"/>
              </w:rPr>
              <w:fldChar w:fldCharType="end"/>
            </w:r>
          </w:p>
        </w:tc>
      </w:tr>
      <w:tr w:rsidR="003B0034" w:rsidRPr="00D725A7" w:rsidTr="00B90D1F">
        <w:tc>
          <w:tcPr>
            <w:tcW w:w="2405" w:type="dxa"/>
          </w:tcPr>
          <w:p w:rsidR="003B0034" w:rsidRPr="00D725A7" w:rsidRDefault="003B0034" w:rsidP="00B90D1F">
            <w:pPr>
              <w:rPr>
                <w:color w:val="000000" w:themeColor="text1"/>
                <w:sz w:val="13"/>
                <w:szCs w:val="13"/>
              </w:rPr>
            </w:pPr>
            <w:r w:rsidRPr="00D725A7">
              <w:rPr>
                <w:color w:val="000000" w:themeColor="text1"/>
                <w:sz w:val="13"/>
                <w:szCs w:val="13"/>
              </w:rPr>
              <w:t>Auxin response factor-5 like</w:t>
            </w:r>
          </w:p>
        </w:tc>
        <w:tc>
          <w:tcPr>
            <w:tcW w:w="1276" w:type="dxa"/>
          </w:tcPr>
          <w:p w:rsidR="003B0034" w:rsidRPr="00D725A7" w:rsidRDefault="003B0034" w:rsidP="00B90D1F">
            <w:pPr>
              <w:rPr>
                <w:color w:val="000000" w:themeColor="text1"/>
                <w:sz w:val="13"/>
                <w:szCs w:val="13"/>
              </w:rPr>
            </w:pPr>
            <w:r w:rsidRPr="00D725A7">
              <w:rPr>
                <w:color w:val="000000" w:themeColor="text1"/>
                <w:sz w:val="13"/>
                <w:szCs w:val="13"/>
              </w:rPr>
              <w:t>C32502832</w:t>
            </w:r>
          </w:p>
        </w:tc>
        <w:tc>
          <w:tcPr>
            <w:tcW w:w="3535" w:type="dxa"/>
          </w:tcPr>
          <w:p w:rsidR="003B0034" w:rsidRPr="00D725A7" w:rsidRDefault="003B0034" w:rsidP="00B90D1F">
            <w:pPr>
              <w:rPr>
                <w:color w:val="000000" w:themeColor="text1"/>
                <w:sz w:val="13"/>
                <w:szCs w:val="13"/>
              </w:rPr>
            </w:pPr>
            <w:r w:rsidRPr="00D725A7">
              <w:rPr>
                <w:color w:val="000000" w:themeColor="text1"/>
                <w:sz w:val="13"/>
                <w:szCs w:val="13"/>
              </w:rPr>
              <w:t>26212</w:t>
            </w:r>
          </w:p>
        </w:tc>
        <w:tc>
          <w:tcPr>
            <w:tcW w:w="2406" w:type="dxa"/>
          </w:tcPr>
          <w:p w:rsidR="003B0034" w:rsidRPr="00D725A7" w:rsidRDefault="003B0034" w:rsidP="00B90D1F">
            <w:pPr>
              <w:rPr>
                <w:color w:val="000000" w:themeColor="text1"/>
                <w:sz w:val="13"/>
                <w:szCs w:val="13"/>
              </w:rPr>
            </w:pPr>
            <w:r w:rsidRPr="00D725A7">
              <w:rPr>
                <w:color w:val="000000" w:themeColor="text1"/>
                <w:sz w:val="13"/>
                <w:szCs w:val="13"/>
              </w:rPr>
              <w:t xml:space="preserve">Involved in salt and drought tolerance in A. thaliana </w:t>
            </w:r>
            <w:r w:rsidRPr="00D725A7">
              <w:rPr>
                <w:color w:val="000000" w:themeColor="text1"/>
                <w:sz w:val="13"/>
                <w:szCs w:val="13"/>
              </w:rPr>
              <w:fldChar w:fldCharType="begin" w:fldLock="1"/>
            </w:r>
            <w:r w:rsidRPr="00D725A7">
              <w:rPr>
                <w:color w:val="000000" w:themeColor="text1"/>
                <w:sz w:val="13"/>
                <w:szCs w:val="13"/>
              </w:rPr>
              <w:instrText>ADDIN CSL_CITATION {"citationItems":[{"id":"ITEM-1","itemData":{"author":[{"dropping-particle":"","family":"Kang","given":"Chen","non-dropping-particle":"","parse-names":false,"suffix":""},{"dropping-particle":"","family":"He","given":"Shaozhen","non-dropping-particle":"","parse-names":false,"suffix":""},{"dropping-particle":"","family":"Zhai","given":"Hong","non-dropping-particle":"","parse-names":false,"suffix":""},{"dropping-particle":"","family":"Li","given":"Ruijie","non-dropping-particle":"","parse-names":false,"suffix":""},{"dropping-particle":"","family":"Zhao","given":"Ning","non-dropping-particle":"","parse-names":false,"suffix":""},{"dropping-particle":"","family":"Liu","given":"Qingchang","non-dropping-particle":"","parse-names":false,"suffix":""}],"container-title":"Frontiers in plant science","id":"ITEM-1","issued":{"date-parts":[["2018"]]},"publisher":"Frontiers Media SA","title":"A sweetpotato auxin response factor gene (IbARF5) is involved in carotenoid biosynthesis and salt and drought tolerance in transgenic Arabidopsis","type":"article-journal","volume":"9"},"uris":["http://www.mendeley.com/documents/?uuid=b2da6470-d4b4-4e6b-9e6e-a11622dafae3"]}],"mendeley":{"formattedCitation":"(Kang et al., 2018)","plainTextFormattedCitation":"(Kang et al., 2018)","previouslyFormattedCitation":"(Kang et al., 2018)"},"properties":{"noteIndex":0},"schema":"https://github.com/citation-style-language/schema/raw/master/csl-citation.json"}</w:instrText>
            </w:r>
            <w:r w:rsidRPr="00D725A7">
              <w:rPr>
                <w:color w:val="000000" w:themeColor="text1"/>
                <w:sz w:val="13"/>
                <w:szCs w:val="13"/>
              </w:rPr>
              <w:fldChar w:fldCharType="separate"/>
            </w:r>
            <w:r w:rsidRPr="00D725A7">
              <w:rPr>
                <w:noProof/>
                <w:color w:val="000000" w:themeColor="text1"/>
                <w:sz w:val="13"/>
                <w:szCs w:val="13"/>
              </w:rPr>
              <w:t>(Kang et al., 2018)</w:t>
            </w:r>
            <w:r w:rsidRPr="00D725A7">
              <w:rPr>
                <w:color w:val="000000" w:themeColor="text1"/>
                <w:sz w:val="13"/>
                <w:szCs w:val="13"/>
              </w:rPr>
              <w:fldChar w:fldCharType="end"/>
            </w:r>
            <w:r w:rsidRPr="00D725A7">
              <w:rPr>
                <w:color w:val="000000" w:themeColor="text1"/>
                <w:sz w:val="13"/>
                <w:szCs w:val="13"/>
              </w:rPr>
              <w:t xml:space="preserve">, regulates fruit set and development in tomato </w:t>
            </w:r>
            <w:r w:rsidRPr="00D725A7">
              <w:rPr>
                <w:color w:val="000000" w:themeColor="text1"/>
                <w:sz w:val="13"/>
                <w:szCs w:val="13"/>
              </w:rPr>
              <w:fldChar w:fldCharType="begin" w:fldLock="1"/>
            </w:r>
            <w:r w:rsidRPr="00D725A7">
              <w:rPr>
                <w:color w:val="000000" w:themeColor="text1"/>
                <w:sz w:val="13"/>
                <w:szCs w:val="13"/>
              </w:rPr>
              <w:instrText>ADDIN CSL_CITATION {"citationItems":[{"id":"ITEM-1","itemData":{"author":[{"dropping-particle":"","family":"Liu","given":"Songyu","non-dropping-particle":"","parse-names":false,"suffix":""},{"dropping-particle":"","family":"Zhang","given":"Youwei","non-dropping-particle":"","parse-names":false,"suffix":""},{"dropping-particle":"","family":"Feng","given":"Qiushuo","non-dropping-particle":"","parse-names":false,"suffix":""},{"dropping-particle":"","family":"Qin","given":"Li","non-dropping-particle":"","parse-names":false,"suffix":""},{"dropping-particle":"","family":"Pan","given":"Changtian","non-dropping-particle":"","parse-names":false,"suffix":""},{"dropping-particle":"","family":"Lamin-Samu","given":"Anthony Tumbeh","non-dropping-particle":"","parse-names":false,"suffix":""},{"dropping-particle":"","family":"Lu","given":"Gang","non-dropping-particle":"","parse-names":false,"suffix":""}],"container-title":"Scientific reports","id":"ITEM-1","issue":"1","issued":{"date-parts":[["2018"]]},"page":"2971","publisher":"Nature Publishing Group","title":"Tomato AUXIN RESPONSE FACTOR 5 regulates fruit set and development via the mediation of auxin and gibberellin signaling","type":"article-journal","volume":"8"},"uris":["http://www.mendeley.com/documents/?uuid=162503fd-7d19-487d-b9c0-404e12286e69"]}],"mendeley":{"formattedCitation":"(Liu et al., 2018)","plainTextFormattedCitation":"(Liu et al., 2018)","previouslyFormattedCitation":"(Liu et al., 2018)"},"properties":{"noteIndex":0},"schema":"https://github.com/citation-style-language/schema/raw/master/csl-citation.json"}</w:instrText>
            </w:r>
            <w:r w:rsidRPr="00D725A7">
              <w:rPr>
                <w:color w:val="000000" w:themeColor="text1"/>
                <w:sz w:val="13"/>
                <w:szCs w:val="13"/>
              </w:rPr>
              <w:fldChar w:fldCharType="separate"/>
            </w:r>
            <w:r w:rsidRPr="00D725A7">
              <w:rPr>
                <w:noProof/>
                <w:color w:val="000000" w:themeColor="text1"/>
                <w:sz w:val="13"/>
                <w:szCs w:val="13"/>
              </w:rPr>
              <w:t>(Liu et al., 2018)</w:t>
            </w:r>
            <w:r w:rsidRPr="00D725A7">
              <w:rPr>
                <w:color w:val="000000" w:themeColor="text1"/>
                <w:sz w:val="13"/>
                <w:szCs w:val="13"/>
              </w:rPr>
              <w:fldChar w:fldCharType="end"/>
            </w:r>
          </w:p>
        </w:tc>
      </w:tr>
      <w:tr w:rsidR="003B0034" w:rsidRPr="00D725A7" w:rsidTr="00B90D1F">
        <w:tc>
          <w:tcPr>
            <w:tcW w:w="2405" w:type="dxa"/>
          </w:tcPr>
          <w:p w:rsidR="003B0034" w:rsidRPr="00D725A7" w:rsidRDefault="003B0034" w:rsidP="00B90D1F">
            <w:pPr>
              <w:rPr>
                <w:color w:val="000000" w:themeColor="text1"/>
                <w:sz w:val="13"/>
                <w:szCs w:val="13"/>
              </w:rPr>
            </w:pPr>
            <w:r w:rsidRPr="00D725A7">
              <w:rPr>
                <w:color w:val="000000" w:themeColor="text1"/>
                <w:sz w:val="13"/>
                <w:szCs w:val="13"/>
              </w:rPr>
              <w:t>Tetratricopeptide repeat domain (TPR)</w:t>
            </w:r>
          </w:p>
        </w:tc>
        <w:tc>
          <w:tcPr>
            <w:tcW w:w="1276" w:type="dxa"/>
          </w:tcPr>
          <w:p w:rsidR="003B0034" w:rsidRPr="00D725A7" w:rsidRDefault="003B0034" w:rsidP="00B90D1F">
            <w:pPr>
              <w:rPr>
                <w:color w:val="000000" w:themeColor="text1"/>
                <w:sz w:val="13"/>
                <w:szCs w:val="13"/>
              </w:rPr>
            </w:pPr>
            <w:r w:rsidRPr="00D725A7">
              <w:rPr>
                <w:color w:val="000000" w:themeColor="text1"/>
                <w:sz w:val="13"/>
                <w:szCs w:val="13"/>
              </w:rPr>
              <w:t>scaffold291986.2</w:t>
            </w:r>
          </w:p>
        </w:tc>
        <w:tc>
          <w:tcPr>
            <w:tcW w:w="3535" w:type="dxa"/>
          </w:tcPr>
          <w:p w:rsidR="003B0034" w:rsidRPr="00D725A7" w:rsidRDefault="003B0034" w:rsidP="00B90D1F">
            <w:pPr>
              <w:rPr>
                <w:color w:val="000000" w:themeColor="text1"/>
                <w:sz w:val="13"/>
                <w:szCs w:val="13"/>
              </w:rPr>
            </w:pPr>
            <w:r w:rsidRPr="00D725A7">
              <w:rPr>
                <w:color w:val="000000" w:themeColor="text1"/>
                <w:sz w:val="13"/>
                <w:szCs w:val="13"/>
              </w:rPr>
              <w:t>49639, 49782, 50073, 50079</w:t>
            </w:r>
          </w:p>
        </w:tc>
        <w:tc>
          <w:tcPr>
            <w:tcW w:w="2406" w:type="dxa"/>
          </w:tcPr>
          <w:p w:rsidR="003B0034" w:rsidRPr="00D725A7" w:rsidRDefault="003B0034" w:rsidP="00B90D1F">
            <w:pPr>
              <w:rPr>
                <w:color w:val="000000" w:themeColor="text1"/>
                <w:sz w:val="13"/>
                <w:szCs w:val="13"/>
              </w:rPr>
            </w:pPr>
            <w:r w:rsidRPr="00D725A7">
              <w:rPr>
                <w:color w:val="000000" w:themeColor="text1"/>
                <w:sz w:val="13"/>
                <w:szCs w:val="13"/>
              </w:rPr>
              <w:t xml:space="preserve">Possibly associated to osmotic stress responses </w:t>
            </w:r>
            <w:r w:rsidRPr="00D725A7">
              <w:rPr>
                <w:color w:val="000000" w:themeColor="text1"/>
                <w:sz w:val="13"/>
                <w:szCs w:val="13"/>
              </w:rPr>
              <w:fldChar w:fldCharType="begin" w:fldLock="1"/>
            </w:r>
            <w:r w:rsidRPr="00D725A7">
              <w:rPr>
                <w:color w:val="000000" w:themeColor="text1"/>
                <w:sz w:val="13"/>
                <w:szCs w:val="13"/>
              </w:rPr>
              <w:instrText>ADDIN CSL_CITATION {"citationItems":[{"id":"ITEM-1","itemData":{"author":[{"dropping-particle":"","family":"Rosado","given":"Abel","non-dropping-particle":"","parse-names":false,"suffix":""},{"dropping-particle":"","family":"Schapire","given":"Arnaldo L","non-dropping-particle":"","parse-names":false,"suffix":""},{"dropping-particle":"","family":"Bressan","given":"Ray A","non-dropping-particle":"","parse-names":false,"suffix":""},{"dropping-particle":"","family":"Harfouche","given":"Antoine L","non-dropping-particle":"","parse-names":false,"suffix":""},{"dropping-particle":"","family":"Hasegawa","given":"Paul M","non-dropping-particle":"","parse-names":false,"suffix":""},{"dropping-particle":"","family":"Valpuesta","given":"Victoriano","non-dropping-particle":"","parse-names":false,"suffix":""},{"dropping-particle":"","family":"Botella","given":"Miguel A","non-dropping-particle":"","parse-names":false,"suffix":""}],"container-title":"Plant Physiology","id":"ITEM-1","issue":"3","issued":{"date-parts":[["2006"]]},"page":"1113-1126","publisher":"Am Soc Plant Biol","title":"The Arabidopsis tetratricopeptide repeat-containing protein TTL1 is required for osmotic stress responses and abscisic acid sensitivity","type":"article-journal","volume":"142"},"uris":["http://www.mendeley.com/documents/?uuid=bb5f2050-6d2e-4864-93fd-e5584388552a"]}],"mendeley":{"formattedCitation":"(Rosado et al., 2006)","plainTextFormattedCitation":"(Rosado et al., 2006)","previouslyFormattedCitation":"(Rosado et al., 2006)"},"properties":{"noteIndex":0},"schema":"https://github.com/citation-style-language/schema/raw/master/csl-citation.json"}</w:instrText>
            </w:r>
            <w:r w:rsidRPr="00D725A7">
              <w:rPr>
                <w:color w:val="000000" w:themeColor="text1"/>
                <w:sz w:val="13"/>
                <w:szCs w:val="13"/>
              </w:rPr>
              <w:fldChar w:fldCharType="separate"/>
            </w:r>
            <w:r w:rsidRPr="00D725A7">
              <w:rPr>
                <w:noProof/>
                <w:color w:val="000000" w:themeColor="text1"/>
                <w:sz w:val="13"/>
                <w:szCs w:val="13"/>
              </w:rPr>
              <w:t>(Rosado et al., 2006)</w:t>
            </w:r>
            <w:r w:rsidRPr="00D725A7">
              <w:rPr>
                <w:color w:val="000000" w:themeColor="text1"/>
                <w:sz w:val="13"/>
                <w:szCs w:val="13"/>
              </w:rPr>
              <w:fldChar w:fldCharType="end"/>
            </w:r>
            <w:r w:rsidRPr="00D725A7">
              <w:rPr>
                <w:color w:val="000000" w:themeColor="text1"/>
                <w:sz w:val="13"/>
                <w:szCs w:val="13"/>
              </w:rPr>
              <w:t xml:space="preserve">, and shown to be outlier in environmental association tests in Eucalyptus </w:t>
            </w:r>
            <w:proofErr w:type="spellStart"/>
            <w:r w:rsidRPr="00D725A7">
              <w:rPr>
                <w:color w:val="000000" w:themeColor="text1"/>
                <w:sz w:val="13"/>
                <w:szCs w:val="13"/>
              </w:rPr>
              <w:t>microcarpa</w:t>
            </w:r>
            <w:proofErr w:type="spellEnd"/>
            <w:r w:rsidRPr="00D725A7">
              <w:rPr>
                <w:color w:val="000000" w:themeColor="text1"/>
                <w:sz w:val="13"/>
                <w:szCs w:val="13"/>
              </w:rPr>
              <w:t xml:space="preserve"> </w:t>
            </w:r>
            <w:r w:rsidRPr="00D725A7">
              <w:rPr>
                <w:color w:val="000000" w:themeColor="text1"/>
                <w:sz w:val="13"/>
                <w:szCs w:val="13"/>
              </w:rPr>
              <w:fldChar w:fldCharType="begin" w:fldLock="1"/>
            </w:r>
            <w:r w:rsidRPr="00D725A7">
              <w:rPr>
                <w:color w:val="000000" w:themeColor="text1"/>
                <w:sz w:val="13"/>
                <w:szCs w:val="13"/>
              </w:rPr>
              <w:instrText>ADDIN CSL_CITATION {"citationItems":[{"id":"ITEM-1","itemData":{"DOI":"10.1111/mec.14341","ISBN":"4955139574","ISSN":"09621083","PMID":"28199780","abstract":"Understanding whether populations can adapt in situ or whether interventions are required is of key importance for biodiversity management under climate change. Landscape genomics is becoming an increasingly important and powerful tool for rapid assessments of climate adaptation, especially in long-lived species such as trees. We investigated climate adaptation in Eucalyptus microcarpa using the DArTseq genomic approach. A combination of F ST outlier and environmental association analyses were performed using &gt; 4,200 genome-wide single nucleotide polymorphisms (SNPs) from 26 populations spanning climate gradients in south-eastern Australia. Eighty-one SNPs were identified as putatively adaptive, based on significance in F ST outlier tests and significant associations with one or more climate variables related to temperature (70 / 81), aridity (37 / 81) or precipitation (35 / 81). Adaptive SNPs were located on all 11 chromosomes, with no particular region associated with individual climate variables. Climate adaptation appeared to be characterized by subtle shifts in allele frequencies, with no consistent fixed differences identified. Based on these associations, we predict adaptation under projected changes in climate will include a suite of shifts in allele frequencies. Whether this can occur sufficiently rapidly through natural selection within populations, or would benefit from assisted gene migration, requires further evaluation. In some populations, the absence, or predicted increases to near fixation of particular adaptive alleles hint at potential limits to adaptive capacity. Together, these results reinforce the importance of standing genetic variation at the geographical level for maintaining species' evolutionary potential.","author":[{"dropping-particle":"","family":"Jordan","given":"Rebecca","non-dropping-particle":"","parse-names":false,"suffix":""},{"dropping-particle":"","family":"Hoffmann","given":"Ary A","non-dropping-particle":"","parse-names":false,"suffix":""},{"dropping-particle":"","family":"Dillon","given":"Shannon K","non-dropping-particle":"","parse-names":false,"suffix":""},{"dropping-particle":"","family":"Prober","given":"Suzanne M","non-dropping-particle":"","parse-names":false,"suffix":""}],"container-title":"Molecular Ecology","id":"ITEM-1","issued":{"date-parts":[["2017"]]},"page":"0-2","title":"Evidence of genomic adaptation to climate in Eucalyptus microcarpa: implications for adaptive potential to projected climate change","type":"article-journal"},"uris":["http://www.mendeley.com/documents/?uuid=bbe9d765-5618-4f6d-bab5-ca5b0183aec0"]}],"mendeley":{"formattedCitation":"(Jordan, Hoffmann, Dillon, &amp; Prober, 2017)","plainTextFormattedCitation":"(Jordan, Hoffmann, Dillon, &amp; Prober, 2017)","previouslyFormattedCitation":"(Jordan, Hoffmann, Dillon, &amp; Prober, 2017)"},"properties":{"noteIndex":0},"schema":"https://github.com/citation-style-language/schema/raw/master/csl-citation.json"}</w:instrText>
            </w:r>
            <w:r w:rsidRPr="00D725A7">
              <w:rPr>
                <w:color w:val="000000" w:themeColor="text1"/>
                <w:sz w:val="13"/>
                <w:szCs w:val="13"/>
              </w:rPr>
              <w:fldChar w:fldCharType="separate"/>
            </w:r>
            <w:r w:rsidRPr="00D725A7">
              <w:rPr>
                <w:noProof/>
                <w:color w:val="000000" w:themeColor="text1"/>
                <w:sz w:val="13"/>
                <w:szCs w:val="13"/>
              </w:rPr>
              <w:t>(Jordan, Hoffmann, Dillon, &amp; Prober, 2017)</w:t>
            </w:r>
            <w:r w:rsidRPr="00D725A7">
              <w:rPr>
                <w:color w:val="000000" w:themeColor="text1"/>
                <w:sz w:val="13"/>
                <w:szCs w:val="13"/>
              </w:rPr>
              <w:fldChar w:fldCharType="end"/>
            </w:r>
            <w:r w:rsidRPr="00D725A7">
              <w:rPr>
                <w:color w:val="000000" w:themeColor="text1"/>
                <w:sz w:val="13"/>
                <w:szCs w:val="13"/>
              </w:rPr>
              <w:t xml:space="preserve"> </w:t>
            </w:r>
          </w:p>
        </w:tc>
      </w:tr>
      <w:tr w:rsidR="003B0034" w:rsidRPr="00D725A7" w:rsidTr="00B90D1F">
        <w:tc>
          <w:tcPr>
            <w:tcW w:w="2405" w:type="dxa"/>
          </w:tcPr>
          <w:p w:rsidR="003B0034" w:rsidRPr="00D725A7" w:rsidRDefault="003B0034" w:rsidP="00B90D1F">
            <w:pPr>
              <w:rPr>
                <w:color w:val="000000" w:themeColor="text1"/>
                <w:sz w:val="13"/>
                <w:szCs w:val="13"/>
              </w:rPr>
            </w:pPr>
            <w:r w:rsidRPr="00D725A7">
              <w:rPr>
                <w:color w:val="000000" w:themeColor="text1"/>
                <w:sz w:val="13"/>
                <w:szCs w:val="13"/>
              </w:rPr>
              <w:t>Gamma carbonic anhydrase 1</w:t>
            </w:r>
          </w:p>
        </w:tc>
        <w:tc>
          <w:tcPr>
            <w:tcW w:w="1276" w:type="dxa"/>
          </w:tcPr>
          <w:p w:rsidR="003B0034" w:rsidRPr="00D725A7" w:rsidRDefault="003B0034" w:rsidP="00B90D1F">
            <w:pPr>
              <w:rPr>
                <w:color w:val="000000" w:themeColor="text1"/>
                <w:sz w:val="13"/>
                <w:szCs w:val="13"/>
              </w:rPr>
            </w:pPr>
            <w:r w:rsidRPr="00D725A7">
              <w:rPr>
                <w:color w:val="000000" w:themeColor="text1"/>
                <w:sz w:val="13"/>
                <w:szCs w:val="13"/>
              </w:rPr>
              <w:t>scaffold204210</w:t>
            </w:r>
          </w:p>
        </w:tc>
        <w:tc>
          <w:tcPr>
            <w:tcW w:w="3535" w:type="dxa"/>
          </w:tcPr>
          <w:p w:rsidR="003B0034" w:rsidRPr="00D725A7" w:rsidRDefault="003B0034" w:rsidP="00B90D1F">
            <w:pPr>
              <w:rPr>
                <w:color w:val="000000" w:themeColor="text1"/>
                <w:sz w:val="13"/>
                <w:szCs w:val="13"/>
              </w:rPr>
            </w:pPr>
            <w:r w:rsidRPr="00D725A7">
              <w:rPr>
                <w:color w:val="000000" w:themeColor="text1"/>
                <w:sz w:val="13"/>
                <w:szCs w:val="13"/>
              </w:rPr>
              <w:t>124240, 124265, 124403</w:t>
            </w:r>
          </w:p>
        </w:tc>
        <w:tc>
          <w:tcPr>
            <w:tcW w:w="2406" w:type="dxa"/>
          </w:tcPr>
          <w:p w:rsidR="003B0034" w:rsidRPr="00D725A7" w:rsidRDefault="003B0034" w:rsidP="00B90D1F">
            <w:pPr>
              <w:rPr>
                <w:color w:val="000000" w:themeColor="text1"/>
                <w:sz w:val="13"/>
                <w:szCs w:val="13"/>
              </w:rPr>
            </w:pPr>
            <w:r w:rsidRPr="00D725A7">
              <w:rPr>
                <w:color w:val="000000" w:themeColor="text1"/>
                <w:sz w:val="13"/>
                <w:szCs w:val="13"/>
              </w:rPr>
              <w:t xml:space="preserve">Carbonic anhydrases have various roles in photosynthesis where they work in conjunction with Rubisco </w:t>
            </w:r>
            <w:r w:rsidRPr="00D725A7">
              <w:rPr>
                <w:color w:val="000000" w:themeColor="text1"/>
                <w:sz w:val="13"/>
                <w:szCs w:val="13"/>
              </w:rPr>
              <w:fldChar w:fldCharType="begin" w:fldLock="1"/>
            </w:r>
            <w:r w:rsidRPr="00D725A7">
              <w:rPr>
                <w:color w:val="000000" w:themeColor="text1"/>
                <w:sz w:val="13"/>
                <w:szCs w:val="13"/>
              </w:rPr>
              <w:instrText>ADDIN CSL_CITATION {"citationItems":[{"id":"ITEM-1","itemData":{"author":[{"dropping-particle":"","family":"Badger","given":"Murray R","non-dropping-particle":"","parse-names":false,"suffix":""},{"dropping-particle":"","family":"Price","given":"G Dean","non-dropping-particle":"","parse-names":false,"suffix":""}],"container-title":"Annual review of plant biology","id":"ITEM-1","issue":"1","issued":{"date-parts":[["1994"]]},"page":"369-392","publisher":"Annual Reviews 4139 El Camino Way, PO Box 10139, Palo Alto, CA 94303-0139, USA","title":"The role of carbonic anhydrase in photosynthesis","type":"article-journal","volume":"45"},"uris":["http://www.mendeley.com/documents/?uuid=449541ef-c71b-414b-951b-38bd6783bd15"]}],"mendeley":{"formattedCitation":"(Badger &amp; Price, 1994)","plainTextFormattedCitation":"(Badger &amp; Price, 1994)","previouslyFormattedCitation":"(Badger &amp; Price, 1994)"},"properties":{"noteIndex":0},"schema":"https://github.com/citation-style-language/schema/raw/master/csl-citation.json"}</w:instrText>
            </w:r>
            <w:r w:rsidRPr="00D725A7">
              <w:rPr>
                <w:color w:val="000000" w:themeColor="text1"/>
                <w:sz w:val="13"/>
                <w:szCs w:val="13"/>
              </w:rPr>
              <w:fldChar w:fldCharType="separate"/>
            </w:r>
            <w:r w:rsidRPr="00D725A7">
              <w:rPr>
                <w:noProof/>
                <w:color w:val="000000" w:themeColor="text1"/>
                <w:sz w:val="13"/>
                <w:szCs w:val="13"/>
              </w:rPr>
              <w:t>(Badger &amp; Price, 1994)</w:t>
            </w:r>
            <w:r w:rsidRPr="00D725A7">
              <w:rPr>
                <w:color w:val="000000" w:themeColor="text1"/>
                <w:sz w:val="13"/>
                <w:szCs w:val="13"/>
              </w:rPr>
              <w:fldChar w:fldCharType="end"/>
            </w:r>
          </w:p>
        </w:tc>
      </w:tr>
      <w:tr w:rsidR="003B0034" w:rsidRPr="00D725A7" w:rsidTr="00B90D1F">
        <w:tc>
          <w:tcPr>
            <w:tcW w:w="2405" w:type="dxa"/>
          </w:tcPr>
          <w:p w:rsidR="003B0034" w:rsidRPr="00D725A7" w:rsidRDefault="003B0034" w:rsidP="00B90D1F">
            <w:pPr>
              <w:rPr>
                <w:color w:val="000000" w:themeColor="text1"/>
                <w:sz w:val="13"/>
                <w:szCs w:val="13"/>
              </w:rPr>
            </w:pPr>
            <w:r>
              <w:rPr>
                <w:color w:val="000000" w:themeColor="text1"/>
                <w:sz w:val="13"/>
                <w:szCs w:val="13"/>
              </w:rPr>
              <w:t>18</w:t>
            </w:r>
            <w:r w:rsidRPr="00D725A7">
              <w:rPr>
                <w:color w:val="000000" w:themeColor="text1"/>
                <w:sz w:val="13"/>
                <w:szCs w:val="13"/>
              </w:rPr>
              <w:t xml:space="preserve"> SNPs within Pentatricopeptide repeat containing genes</w:t>
            </w:r>
          </w:p>
        </w:tc>
        <w:tc>
          <w:tcPr>
            <w:tcW w:w="1276" w:type="dxa"/>
          </w:tcPr>
          <w:p w:rsidR="003B0034" w:rsidRPr="00D725A7" w:rsidRDefault="003B0034" w:rsidP="00B90D1F">
            <w:pPr>
              <w:rPr>
                <w:color w:val="000000" w:themeColor="text1"/>
                <w:sz w:val="13"/>
                <w:szCs w:val="13"/>
              </w:rPr>
            </w:pPr>
            <w:r w:rsidRPr="00D725A7">
              <w:rPr>
                <w:color w:val="000000" w:themeColor="text1"/>
                <w:sz w:val="13"/>
                <w:szCs w:val="13"/>
              </w:rPr>
              <w:t>scaffold39072</w:t>
            </w:r>
          </w:p>
          <w:p w:rsidR="003B0034" w:rsidRPr="00D725A7" w:rsidRDefault="003B0034" w:rsidP="00B90D1F">
            <w:pPr>
              <w:rPr>
                <w:color w:val="000000" w:themeColor="text1"/>
                <w:sz w:val="13"/>
                <w:szCs w:val="13"/>
              </w:rPr>
            </w:pPr>
            <w:r w:rsidRPr="00D725A7">
              <w:rPr>
                <w:color w:val="000000" w:themeColor="text1"/>
                <w:sz w:val="13"/>
                <w:szCs w:val="13"/>
              </w:rPr>
              <w:t>scaffold160879</w:t>
            </w:r>
          </w:p>
          <w:p w:rsidR="003B0034" w:rsidRDefault="003B0034" w:rsidP="00B90D1F">
            <w:pPr>
              <w:rPr>
                <w:color w:val="000000" w:themeColor="text1"/>
                <w:sz w:val="13"/>
                <w:szCs w:val="13"/>
              </w:rPr>
            </w:pPr>
          </w:p>
          <w:p w:rsidR="003B0034" w:rsidRPr="00D725A7" w:rsidRDefault="003B0034" w:rsidP="00B90D1F">
            <w:pPr>
              <w:rPr>
                <w:color w:val="000000" w:themeColor="text1"/>
                <w:sz w:val="13"/>
                <w:szCs w:val="13"/>
              </w:rPr>
            </w:pPr>
            <w:r w:rsidRPr="00D725A7">
              <w:rPr>
                <w:color w:val="000000" w:themeColor="text1"/>
                <w:sz w:val="13"/>
                <w:szCs w:val="13"/>
              </w:rPr>
              <w:t>scaffold876405</w:t>
            </w:r>
          </w:p>
          <w:p w:rsidR="003B0034" w:rsidRPr="00D725A7" w:rsidRDefault="003B0034" w:rsidP="00B90D1F">
            <w:pPr>
              <w:rPr>
                <w:color w:val="000000" w:themeColor="text1"/>
                <w:sz w:val="13"/>
                <w:szCs w:val="13"/>
              </w:rPr>
            </w:pPr>
            <w:r w:rsidRPr="00D725A7">
              <w:rPr>
                <w:color w:val="000000" w:themeColor="text1"/>
                <w:sz w:val="13"/>
                <w:szCs w:val="13"/>
              </w:rPr>
              <w:t>tscaffold6603</w:t>
            </w:r>
          </w:p>
          <w:p w:rsidR="003B0034" w:rsidRPr="00D725A7" w:rsidRDefault="003B0034" w:rsidP="00B90D1F">
            <w:pPr>
              <w:rPr>
                <w:color w:val="000000" w:themeColor="text1"/>
                <w:sz w:val="13"/>
                <w:szCs w:val="13"/>
              </w:rPr>
            </w:pPr>
            <w:r w:rsidRPr="00D725A7">
              <w:rPr>
                <w:color w:val="000000" w:themeColor="text1"/>
                <w:sz w:val="13"/>
                <w:szCs w:val="13"/>
              </w:rPr>
              <w:t>tscaffold7974</w:t>
            </w:r>
          </w:p>
        </w:tc>
        <w:tc>
          <w:tcPr>
            <w:tcW w:w="3535" w:type="dxa"/>
          </w:tcPr>
          <w:p w:rsidR="003B0034" w:rsidRPr="00D725A7" w:rsidRDefault="003B0034" w:rsidP="00B90D1F">
            <w:pPr>
              <w:rPr>
                <w:color w:val="000000" w:themeColor="text1"/>
                <w:sz w:val="13"/>
                <w:szCs w:val="13"/>
              </w:rPr>
            </w:pPr>
            <w:r w:rsidRPr="00D725A7">
              <w:rPr>
                <w:color w:val="000000" w:themeColor="text1"/>
                <w:sz w:val="13"/>
                <w:szCs w:val="13"/>
              </w:rPr>
              <w:t>120552</w:t>
            </w:r>
          </w:p>
          <w:p w:rsidR="003B0034" w:rsidRPr="00415B25" w:rsidRDefault="003B0034" w:rsidP="00B90D1F">
            <w:pPr>
              <w:rPr>
                <w:strike/>
                <w:color w:val="000000" w:themeColor="text1"/>
                <w:sz w:val="13"/>
                <w:szCs w:val="13"/>
              </w:rPr>
            </w:pPr>
            <w:r w:rsidRPr="00D725A7">
              <w:rPr>
                <w:color w:val="000000" w:themeColor="text1"/>
                <w:sz w:val="13"/>
                <w:szCs w:val="13"/>
              </w:rPr>
              <w:t xml:space="preserve">101352, 102086, 102600, 102615, 102671, 102788, 102855, 103194, </w:t>
            </w:r>
            <w:r w:rsidRPr="00415B25">
              <w:rPr>
                <w:color w:val="000000" w:themeColor="text1"/>
                <w:sz w:val="13"/>
                <w:szCs w:val="13"/>
              </w:rPr>
              <w:t>103331</w:t>
            </w:r>
          </w:p>
          <w:p w:rsidR="003B0034" w:rsidRPr="00D725A7" w:rsidRDefault="003B0034" w:rsidP="00B90D1F">
            <w:pPr>
              <w:rPr>
                <w:color w:val="000000" w:themeColor="text1"/>
                <w:sz w:val="13"/>
                <w:szCs w:val="13"/>
              </w:rPr>
            </w:pPr>
            <w:r w:rsidRPr="00D725A7">
              <w:rPr>
                <w:color w:val="000000" w:themeColor="text1"/>
                <w:sz w:val="13"/>
                <w:szCs w:val="13"/>
              </w:rPr>
              <w:t>27038</w:t>
            </w:r>
          </w:p>
          <w:p w:rsidR="003B0034" w:rsidRPr="00D725A7" w:rsidRDefault="003B0034" w:rsidP="00B90D1F">
            <w:pPr>
              <w:rPr>
                <w:color w:val="000000" w:themeColor="text1"/>
                <w:sz w:val="13"/>
                <w:szCs w:val="13"/>
              </w:rPr>
            </w:pPr>
            <w:r w:rsidRPr="00D725A7">
              <w:rPr>
                <w:color w:val="000000" w:themeColor="text1"/>
                <w:sz w:val="13"/>
                <w:szCs w:val="13"/>
              </w:rPr>
              <w:t>41052, 113519</w:t>
            </w:r>
          </w:p>
          <w:p w:rsidR="003B0034" w:rsidRPr="00B60C7C" w:rsidRDefault="003B0034" w:rsidP="00B90D1F">
            <w:pPr>
              <w:rPr>
                <w:color w:val="000000" w:themeColor="text1"/>
                <w:sz w:val="13"/>
                <w:szCs w:val="13"/>
              </w:rPr>
            </w:pPr>
            <w:r w:rsidRPr="00D725A7">
              <w:rPr>
                <w:color w:val="000000" w:themeColor="text1"/>
                <w:sz w:val="13"/>
                <w:szCs w:val="13"/>
              </w:rPr>
              <w:t>403268, 403301, 403357, 403453, 403468</w:t>
            </w:r>
          </w:p>
        </w:tc>
        <w:tc>
          <w:tcPr>
            <w:tcW w:w="2406" w:type="dxa"/>
          </w:tcPr>
          <w:p w:rsidR="003B0034" w:rsidRPr="00D725A7" w:rsidRDefault="003B0034" w:rsidP="00B90D1F">
            <w:pPr>
              <w:rPr>
                <w:color w:val="000000" w:themeColor="text1"/>
                <w:sz w:val="13"/>
                <w:szCs w:val="13"/>
              </w:rPr>
            </w:pPr>
            <w:r w:rsidRPr="00D725A7">
              <w:rPr>
                <w:color w:val="000000" w:themeColor="text1"/>
                <w:sz w:val="13"/>
                <w:szCs w:val="13"/>
              </w:rPr>
              <w:t xml:space="preserve">They have multitude of tasks in plants </w:t>
            </w:r>
            <w:r w:rsidRPr="00D725A7">
              <w:rPr>
                <w:color w:val="000000" w:themeColor="text1"/>
                <w:sz w:val="13"/>
                <w:szCs w:val="13"/>
              </w:rPr>
              <w:fldChar w:fldCharType="begin" w:fldLock="1"/>
            </w:r>
            <w:r w:rsidRPr="00D725A7">
              <w:rPr>
                <w:color w:val="000000" w:themeColor="text1"/>
                <w:sz w:val="13"/>
                <w:szCs w:val="13"/>
              </w:rPr>
              <w:instrText>ADDIN CSL_CITATION {"citationItems":[{"id":"ITEM-1","itemData":{"DOI":"10.1146/annurev-arplant-050213-040159","ISBN":"1545-2123 (Electronic)\\r1543-5008 (Linking)","ISSN":"1543-5008","PMID":"24471833","abstract":"Pentatricopeptide repeat (PPR) proteins constitute one of the largest protein families in land plants, with more than 400 members in most species. Over the past decade, much has been learned about the molecular functions of these proteins, where they act in the cell, and what physiological roles they play during plant growth and development. A typical PPR protein is targeted to mitochondria or chloroplasts, binds one or several organellar transcripts, and influences their expression by altering RNA sequence, turnover, processing, or translation. Their combined action has profound effects on organelle biogenesis and function and, consequently, on photosynthesis, respiration, plant development, and environmental responses. Recent breakthroughs in understanding how PPR proteins recognize RNA sequences through modular base-specific contacts will help match proteins to potential binding sites and provide a pathway toward designing synthetic RNA-binding proteins aimed at desired targets.","author":[{"dropping-particle":"","family":"Barkan","given":"Alice","non-dropping-particle":"","parse-names":false,"suffix":""},{"dropping-particle":"","family":"Small","given":"Ian","non-dropping-particle":"","parse-names":false,"suffix":""}],"container-title":"Annual Review of Plant Biology","id":"ITEM-1","issue":"1","issued":{"date-parts":[["2014"]]},"page":"415-442","title":"Pentatricopeptide Repeat Proteins in Plants","type":"article-journal","volume":"65"},"uris":["http://www.mendeley.com/documents/?uuid=0a964bab-c70f-4e9e-996c-6c151693a646"]}],"mendeley":{"formattedCitation":"(Barkan &amp; Small, 2014)","plainTextFormattedCitation":"(Barkan &amp; Small, 2014)","previouslyFormattedCitation":"(Barkan &amp; Small, 2014)"},"properties":{"noteIndex":0},"schema":"https://github.com/citation-style-language/schema/raw/master/csl-citation.json"}</w:instrText>
            </w:r>
            <w:r w:rsidRPr="00D725A7">
              <w:rPr>
                <w:color w:val="000000" w:themeColor="text1"/>
                <w:sz w:val="13"/>
                <w:szCs w:val="13"/>
              </w:rPr>
              <w:fldChar w:fldCharType="separate"/>
            </w:r>
            <w:r w:rsidRPr="00D725A7">
              <w:rPr>
                <w:noProof/>
                <w:color w:val="000000" w:themeColor="text1"/>
                <w:sz w:val="13"/>
                <w:szCs w:val="13"/>
              </w:rPr>
              <w:t>(Barkan &amp; Small, 2014)</w:t>
            </w:r>
            <w:r w:rsidRPr="00D725A7">
              <w:rPr>
                <w:color w:val="000000" w:themeColor="text1"/>
                <w:sz w:val="13"/>
                <w:szCs w:val="13"/>
              </w:rPr>
              <w:fldChar w:fldCharType="end"/>
            </w:r>
            <w:r w:rsidRPr="00D725A7">
              <w:rPr>
                <w:color w:val="000000" w:themeColor="text1"/>
                <w:sz w:val="13"/>
                <w:szCs w:val="13"/>
              </w:rPr>
              <w:t xml:space="preserve"> and have been shown to be outliers in selection scans e.g. in A. </w:t>
            </w:r>
            <w:proofErr w:type="spellStart"/>
            <w:r w:rsidRPr="00D725A7">
              <w:rPr>
                <w:color w:val="000000" w:themeColor="text1"/>
                <w:sz w:val="13"/>
                <w:szCs w:val="13"/>
              </w:rPr>
              <w:t>lyrata</w:t>
            </w:r>
            <w:proofErr w:type="spellEnd"/>
            <w:r w:rsidRPr="00D725A7">
              <w:rPr>
                <w:color w:val="000000" w:themeColor="text1"/>
                <w:sz w:val="13"/>
                <w:szCs w:val="13"/>
              </w:rPr>
              <w:t xml:space="preserve"> </w:t>
            </w:r>
            <w:r w:rsidRPr="00D725A7">
              <w:rPr>
                <w:color w:val="000000" w:themeColor="text1"/>
                <w:sz w:val="13"/>
                <w:szCs w:val="13"/>
              </w:rPr>
              <w:fldChar w:fldCharType="begin" w:fldLock="1"/>
            </w:r>
            <w:r w:rsidRPr="00D725A7">
              <w:rPr>
                <w:color w:val="000000" w:themeColor="text1"/>
                <w:sz w:val="13"/>
                <w:szCs w:val="13"/>
              </w:rPr>
              <w:instrText>ADDIN CSL_CITATION {"citationItems":[{"id":"ITEM-1","itemData":{"DOI":"10.1534/genetics.109.104778","ISBN":"1943-2631 (Electronic)\\r0016-6731 (Linking)","ISSN":"00166731","PMID":"19635937","abstract":"Pentatricopeptide repeat (PPR) proteins compose a family of nuclear-encoded transcriptional regulators of cytoplasmic genes. They have shown dramatic expansion in copy number in plants, and although the functional importance of many remains unclear, a subset has been repeatedly implicated as nuclear restorers for cytoplasmic male sterility. Here we investigate the molecular population genetics and molecular evolution of seven single-copy PPR genes in the outcrossing model plant Arabidopsis lyrata. In comparison with neutral reference loci, we find, on average, elevated levels of polymorphism and an excess of high-frequency variants at these PPR genes, suggesting that natural selection is maintaining polymorphism at some of these loci. This elevation in diversity persists when we control for divergence and generally decreases in the flanking regions, suggesting that these genes are themselves the targets of selection. Some of the PPR genes also demonstrate elevated population differentiation, which is consistent with spatially varying selection. In contrast, no comparable patterns are observed at these loci in A. thaliana, providing no evidence for the action of balancing selection in this selfing species. Taken together, these results suggest that a subset of PPR genes may be subject to balancing selection associated with ongoing cytonuclear coevolution in the outcrossing A. lyrata, which is possibly mediated either by intergenomic conflict or by compensatory evolution.","author":[{"dropping-particle":"","family":"Foxe","given":"John Paul","non-dropping-particle":"","parse-names":false,"suffix":""},{"dropping-particle":"","family":"Wright","given":"Stephen I.","non-dropping-particle":"","parse-names":false,"suffix":""}],"container-title":"Genetics","id":"ITEM-1","issue":"2","issued":{"date-parts":[["2009"]]},"page":"663-672","title":"Signature of diversifying selection on members of the pentatricopeptide repeat protein family in Arabidopsis lyrata","type":"article-journal","volume":"183"},"uris":["http://www.mendeley.com/documents/?uuid=998feed9-789d-4b41-a1d7-acf2dfbee643"]}],"mendeley":{"formattedCitation":"(Foxe &amp; Wright, 2009)","plainTextFormattedCitation":"(Foxe &amp; Wright, 2009)","previouslyFormattedCitation":"(Foxe &amp; Wright, 2009)"},"properties":{"noteIndex":0},"schema":"https://github.com/citation-style-language/schema/raw/master/csl-citation.json"}</w:instrText>
            </w:r>
            <w:r w:rsidRPr="00D725A7">
              <w:rPr>
                <w:color w:val="000000" w:themeColor="text1"/>
                <w:sz w:val="13"/>
                <w:szCs w:val="13"/>
              </w:rPr>
              <w:fldChar w:fldCharType="separate"/>
            </w:r>
            <w:r w:rsidRPr="00D725A7">
              <w:rPr>
                <w:noProof/>
                <w:color w:val="000000" w:themeColor="text1"/>
                <w:sz w:val="13"/>
                <w:szCs w:val="13"/>
              </w:rPr>
              <w:t>(Foxe &amp; Wright, 2009)</w:t>
            </w:r>
            <w:r w:rsidRPr="00D725A7">
              <w:rPr>
                <w:color w:val="000000" w:themeColor="text1"/>
                <w:sz w:val="13"/>
                <w:szCs w:val="13"/>
              </w:rPr>
              <w:fldChar w:fldCharType="end"/>
            </w:r>
            <w:r w:rsidRPr="00D725A7">
              <w:rPr>
                <w:color w:val="000000" w:themeColor="text1"/>
                <w:sz w:val="13"/>
                <w:szCs w:val="13"/>
              </w:rPr>
              <w:t xml:space="preserve"> and in conifers </w:t>
            </w:r>
            <w:r w:rsidRPr="00D725A7">
              <w:rPr>
                <w:color w:val="000000" w:themeColor="text1"/>
                <w:sz w:val="13"/>
                <w:szCs w:val="13"/>
              </w:rPr>
              <w:fldChar w:fldCharType="begin" w:fldLock="1"/>
            </w:r>
            <w:r w:rsidRPr="00D725A7">
              <w:rPr>
                <w:color w:val="000000" w:themeColor="text1"/>
                <w:sz w:val="13"/>
                <w:szCs w:val="13"/>
              </w:rPr>
              <w:instrText>ADDIN CSL_CITATION {"citationItems":[{"id":"ITEM-1","itemData":{"DOI":"10.1371/journal.pone.0115499","ISBN":"10.1371/journal.pone.0115499","ISSN":"19326203","PMID":"25551624","abstract":"Forest tree species of temperate and boreal regions have undergone a long history of demographic changes and evolutionary adaptations. The main objective of this study was to detect signals of selection in Norway spruce (Picea abies [L.] Karst), at different sampling-scales and to investigate, accounting for population structure, the effect of environment on species genetic diversity. A total of 384 single nucleotide polymorphisms (SNPs) representing 290 genes were genotyped at two geographic scales: across 12 populations distributed along two altitudinal-transects in the Alps (micro-geographic scale), and across 27 populations belonging to the range of Norway spruce in central and south-east Europe (macro-geographic scale). At the macrogeographic scale, principal component analysis combined with Bayesian clustering revealed three major clusters, corresponding to the main areas of southern spruce occurrence, i.e. the Alps, Carpathians, and Hercynia. The populations along the altitudinal transects were not differentiated. To assess the role of selection in structuring genetic variation, we applied a Bayesian and coalescent-based FST-outlier method and tested for correlations between allele frequencies and climatic variables using regression analyses. At the macro-geographic scale, the FST-outlier methods detected together 11 FST-outliers. Six outliers were detected when the same analyses were carried out taking into account the genetic structure. Regression analyses with population structure correction resulted in the identification of two (micro-geographic scale) and 38 SNPs (macro-geographic scale) significantly correlated with temperature and/or precipitation. Six of these loci overlapped with FST-outliers, among them two loci encoding an enzyme involved in riboflavin biosynthesis and a sucrose synthase. The results of this study indicate a strong relationship between genetic and environmental variation at both geographic scales. It also suggests that an integrative approach combining different outlier detection methods and population sampling at different geographic scales is useful to identify loci potentially involved in adaptation.","author":[{"dropping-particle":"","family":"Scalfi","given":"Marta","non-dropping-particle":"","parse-names":false,"suffix":""},{"dropping-particle":"","family":"Mosca","given":"Elena","non-dropping-particle":"","parse-names":false,"suffix":""},{"dropping-particle":"","family":"Pierro","given":"Erica Adele","non-dropping-particle":"Di","parse-names":false,"suffix":""},{"dropping-particle":"","family":"Troggio","given":"Michela","non-dropping-particle":"","parse-names":false,"suffix":""},{"dropping-particle":"","family":"Vendramin","given":"Giovanni Giuseppe","non-dropping-particle":"","parse-names":false,"suffix":""},{"dropping-particle":"","family":"Sperisen","given":"Christoph","non-dropping-particle":"","parse-names":false,"suffix":""},{"dropping-particle":"","family":"Porta","given":"Nicola","non-dropping-particle":"La","parse-names":false,"suffix":""},{"dropping-particle":"","family":"Neale","given":"David B.","non-dropping-particle":"","parse-names":false,"suffix":""}],"container-title":"PLoS ONE","id":"ITEM-1","issue":"12","issued":{"date-parts":[["2014"]]},"page":"1-22","title":"Micro-and macro-geographic scale effect on the molecular imprint of selection and adaptation in Norway spruce","type":"article-journal","volume":"9"},"uris":["http://www.mendeley.com/documents/?uuid=c8380583-8bc6-4ffa-a8a3-11e5d3870a17"]},{"id":"ITEM-2","itemData":{"DOI":"10.1126/science.aaf7812","ISBN":"1095-9203 (Electronic)\\r0036-8075 (Linking)","ISSN":"0036-8075","PMID":"27708038","abstract":"When confronted with an adaptive challenge, such as extreme temperature, closely related species frequently evolve similar phenotypes using the same genes. Although such repeated evolution is thought to be less likely in highly polygenic traits and distantly related species, this has not been tested at the genome scale. We performed a population genomic study of convergent local adaptation among two distantly related species, lodgepole pine and interior spruce. We identified a suite of 47 genes, enriched for duplicated genes, with variants associated with spatial variation in temperature or cold hardiness in both species, providing evidence of convergent local adaptation despite 140 million years of separate evolution. These results show that adaptation to climate can be genetically constrained, with certain key genes playing nonredundant roles.","author":[{"dropping-particle":"","family":"Yeaman","given":"S.","non-dropping-particle":"","parse-names":false,"suffix":""},{"dropping-particle":"","family":"Hodgins","given":"K. A.","non-dropping-particle":"","parse-names":false,"suffix":""},{"dropping-particle":"","family":"Lotterhos","given":"K. E.","non-dropping-particle":"","parse-names":false,"suffix":""},{"dropping-particle":"","family":"Suren","given":"H.","non-dropping-particle":"","parse-names":false,"suffix":""},{"dropping-particle":"","family":"Nadeau","given":"S.","non-dropping-particle":"","parse-names":false,"suffix":""},{"dropping-particle":"","family":"Degner","given":"J. C.","non-dropping-particle":"","parse-names":false,"suffix":""},{"dropping-particle":"","family":"Nurkowski","given":"K. A.","non-dropping-particle":"","parse-names":false,"suffix":""},{"dropping-particle":"","family":"Smets","given":"P.","non-dropping-particle":"","parse-names":false,"suffix":""},{"dropping-particle":"","family":"Wang","given":"T.","non-dropping-particle":"","parse-names":false,"suffix":""},{"dropping-particle":"","family":"Gray","given":"L. K.","non-dropping-particle":"","parse-names":false,"suffix":""},{"dropping-particle":"","family":"Liepe","given":"K. J.","non-dropping-particle":"","parse-names":false,"suffix":""},{"dropping-particle":"","family":"Hamann","given":"A.","non-dropping-particle":"","parse-names":false,"suffix":""},{"dropping-particle":"","family":"Holliday","given":"J. A.","non-dropping-particle":"","parse-names":false,"suffix":""},{"dropping-particle":"","family":"Whitlock","given":"M. C.","non-dropping-particle":"","parse-names":false,"suffix":""},{"dropping-particle":"","family":"Rieseberg","given":"L. H.","non-dropping-particle":"","parse-names":false,"suffix":""},{"dropping-particle":"","family":"Aitken","given":"S. N.","non-dropping-particle":"","parse-names":false,"suffix":""}],"container-title":"Science","id":"ITEM-2","issue":"6306","issued":{"date-parts":[["2016"]]},"page":"1431-1433","title":"Convergent local adaptation to climate in distantly related conifers","type":"article-journal","volume":"353"},"uris":["http://www.mendeley.com/documents/?uuid=b27091bb-acf8-4223-80a2-04f8a2a207fe"]}],"mendeley":{"formattedCitation":"(Scalfi et al., 2014; Yeaman et al., 2016)","plainTextFormattedCitation":"(Scalfi et al., 2014; Yeaman et al., 2016)","previouslyFormattedCitation":"(Scalfi et al., 2014; Yeaman et al., 2016)"},"properties":{"noteIndex":0},"schema":"https://github.com/citation-style-language/schema/raw/master/csl-citation.json"}</w:instrText>
            </w:r>
            <w:r w:rsidRPr="00D725A7">
              <w:rPr>
                <w:color w:val="000000" w:themeColor="text1"/>
                <w:sz w:val="13"/>
                <w:szCs w:val="13"/>
              </w:rPr>
              <w:fldChar w:fldCharType="separate"/>
            </w:r>
            <w:r w:rsidRPr="00D725A7">
              <w:rPr>
                <w:noProof/>
                <w:color w:val="000000" w:themeColor="text1"/>
                <w:sz w:val="13"/>
                <w:szCs w:val="13"/>
              </w:rPr>
              <w:t>(Scalfi et al., 2014; Yeaman et al., 2016)</w:t>
            </w:r>
            <w:r w:rsidRPr="00D725A7">
              <w:rPr>
                <w:color w:val="000000" w:themeColor="text1"/>
                <w:sz w:val="13"/>
                <w:szCs w:val="13"/>
              </w:rPr>
              <w:fldChar w:fldCharType="end"/>
            </w:r>
          </w:p>
        </w:tc>
      </w:tr>
      <w:tr w:rsidR="003B0034" w:rsidRPr="00D725A7" w:rsidTr="00B90D1F">
        <w:tc>
          <w:tcPr>
            <w:tcW w:w="2405" w:type="dxa"/>
          </w:tcPr>
          <w:p w:rsidR="003B0034" w:rsidRPr="00D725A7" w:rsidRDefault="003B0034" w:rsidP="00B90D1F">
            <w:pPr>
              <w:rPr>
                <w:color w:val="000000" w:themeColor="text1"/>
                <w:sz w:val="13"/>
                <w:szCs w:val="13"/>
              </w:rPr>
            </w:pPr>
            <w:r>
              <w:rPr>
                <w:color w:val="000000" w:themeColor="text1"/>
                <w:sz w:val="13"/>
                <w:szCs w:val="13"/>
              </w:rPr>
              <w:t>Phospholipase D</w:t>
            </w:r>
          </w:p>
        </w:tc>
        <w:tc>
          <w:tcPr>
            <w:tcW w:w="1276" w:type="dxa"/>
          </w:tcPr>
          <w:p w:rsidR="003B0034" w:rsidRPr="00D725A7" w:rsidRDefault="003B0034" w:rsidP="00B90D1F">
            <w:pPr>
              <w:rPr>
                <w:color w:val="000000" w:themeColor="text1"/>
                <w:sz w:val="13"/>
                <w:szCs w:val="13"/>
              </w:rPr>
            </w:pPr>
            <w:r w:rsidRPr="004E6BDF">
              <w:rPr>
                <w:color w:val="000000" w:themeColor="text1"/>
                <w:sz w:val="13"/>
                <w:szCs w:val="13"/>
              </w:rPr>
              <w:t>C32494998</w:t>
            </w:r>
          </w:p>
        </w:tc>
        <w:tc>
          <w:tcPr>
            <w:tcW w:w="3535" w:type="dxa"/>
          </w:tcPr>
          <w:p w:rsidR="003B0034" w:rsidRPr="004E6BDF" w:rsidRDefault="003B0034" w:rsidP="00B90D1F">
            <w:pPr>
              <w:rPr>
                <w:color w:val="000000" w:themeColor="text1"/>
                <w:sz w:val="13"/>
                <w:szCs w:val="13"/>
              </w:rPr>
            </w:pPr>
            <w:r w:rsidRPr="004E6BDF">
              <w:rPr>
                <w:color w:val="000000" w:themeColor="text1"/>
                <w:sz w:val="13"/>
                <w:szCs w:val="13"/>
              </w:rPr>
              <w:t>52515</w:t>
            </w:r>
          </w:p>
        </w:tc>
        <w:tc>
          <w:tcPr>
            <w:tcW w:w="2406" w:type="dxa"/>
          </w:tcPr>
          <w:p w:rsidR="003B0034" w:rsidRPr="00D725A7" w:rsidRDefault="003B0034" w:rsidP="00B90D1F">
            <w:pPr>
              <w:rPr>
                <w:color w:val="000000" w:themeColor="text1"/>
                <w:sz w:val="13"/>
                <w:szCs w:val="13"/>
              </w:rPr>
            </w:pPr>
            <w:r>
              <w:rPr>
                <w:color w:val="000000" w:themeColor="text1"/>
                <w:sz w:val="13"/>
                <w:szCs w:val="13"/>
              </w:rPr>
              <w:t xml:space="preserve">Role in responses to drought and salinity </w:t>
            </w:r>
            <w:r>
              <w:rPr>
                <w:color w:val="000000" w:themeColor="text1"/>
                <w:sz w:val="13"/>
                <w:szCs w:val="13"/>
              </w:rPr>
              <w:fldChar w:fldCharType="begin" w:fldLock="1"/>
            </w:r>
            <w:r>
              <w:rPr>
                <w:color w:val="000000" w:themeColor="text1"/>
                <w:sz w:val="13"/>
                <w:szCs w:val="13"/>
              </w:rPr>
              <w:instrText>ADDIN CSL_CITATION {"citationItems":[{"id":"ITEM-1","itemData":{"DOI":"10.1111/j.1365-3040.2009.02087.x","ISSN":"01407791","abstract":"The activity of phospholipase D (PLD) in plants increases under different hyperosmotic stresses, such as dehydration, drought, and salinity. Recent results begin to shed light onto the involvement of PLD in response to water deficits and salinity. Different PLDs have unique and overlapping functions in these responses. PLD. α1 promotes stomatal closure and reduces water loss. PLD. α1 and PLD. δ are involved in seedling tolerance to salt stress. PLD. α3 and PLD. ε enhance plant growth and hyperosmotic tolerance. The different PLDs regulate the production of phosphatidic acid (PA) that is a key class of lipid mediators in plant response to environmental stresses. Further studies on the upstream regulators that activate different PLDs and the downstream effectors of PLDs and PA have the potential to unveil the linkage between the stimulus perception at the cell membrane to intracellular responses to drought and salinity stresses. © 2010 Blackwell Publishing Ltd.","author":[{"dropping-particle":"","family":"Hong","given":"Yueyun","non-dropping-particle":"","parse-names":false,"suffix":""},{"dropping-particle":"","family":"Zhang","given":"Wenhua","non-dropping-particle":"","parse-names":false,"suffix":""},{"dropping-particle":"","family":"Wang","given":"Xuemin","non-dropping-particle":"","parse-names":false,"suffix":""}],"container-title":"Plant, Cell and Environment","id":"ITEM-1","issue":"4","issued":{"date-parts":[["2010"]]},"page":"627-635","title":"Phospholipase D and phosphatidic acid signalling in plant response to drought and salinity","type":"article-journal","volume":"33"},"uris":["http://www.mendeley.com/documents/?uuid=1715136d-8f3d-42c1-86df-a3172bc71ae7"]}],"mendeley":{"formattedCitation":"(Hong, Zhang, &amp; Wang, 2010)","plainTextFormattedCitation":"(Hong, Zhang, &amp; Wang, 2010)","previouslyFormattedCitation":"(Hong, Zhang, &amp; Wang, 2010)"},"properties":{"noteIndex":0},"schema":"https://github.com/citation-style-language/schema/raw/master/csl-citation.json"}</w:instrText>
            </w:r>
            <w:r>
              <w:rPr>
                <w:color w:val="000000" w:themeColor="text1"/>
                <w:sz w:val="13"/>
                <w:szCs w:val="13"/>
              </w:rPr>
              <w:fldChar w:fldCharType="separate"/>
            </w:r>
            <w:r w:rsidRPr="004E6BDF">
              <w:rPr>
                <w:noProof/>
                <w:color w:val="000000" w:themeColor="text1"/>
                <w:sz w:val="13"/>
                <w:szCs w:val="13"/>
              </w:rPr>
              <w:t>(Hong, Zhang, &amp; Wang, 2010)</w:t>
            </w:r>
            <w:r>
              <w:rPr>
                <w:color w:val="000000" w:themeColor="text1"/>
                <w:sz w:val="13"/>
                <w:szCs w:val="13"/>
              </w:rPr>
              <w:fldChar w:fldCharType="end"/>
            </w:r>
          </w:p>
        </w:tc>
      </w:tr>
      <w:tr w:rsidR="003B0034" w:rsidRPr="00D725A7" w:rsidTr="00B90D1F">
        <w:tc>
          <w:tcPr>
            <w:tcW w:w="2405" w:type="dxa"/>
          </w:tcPr>
          <w:p w:rsidR="003B0034" w:rsidRPr="00D725A7" w:rsidRDefault="003B0034" w:rsidP="00B90D1F">
            <w:pPr>
              <w:rPr>
                <w:rFonts w:ascii="Times" w:hAnsi="Times" w:cs="Times"/>
                <w:color w:val="000000" w:themeColor="text1"/>
                <w:sz w:val="13"/>
                <w:szCs w:val="13"/>
              </w:rPr>
            </w:pPr>
            <w:proofErr w:type="spellStart"/>
            <w:r w:rsidRPr="00D725A7">
              <w:rPr>
                <w:rFonts w:ascii="Times" w:hAnsi="Times" w:cs="Times"/>
                <w:color w:val="000000" w:themeColor="text1"/>
                <w:sz w:val="13"/>
                <w:szCs w:val="13"/>
              </w:rPr>
              <w:t>myb</w:t>
            </w:r>
            <w:proofErr w:type="spellEnd"/>
            <w:r w:rsidRPr="00D725A7">
              <w:rPr>
                <w:rFonts w:ascii="Times" w:hAnsi="Times" w:cs="Times"/>
                <w:color w:val="000000" w:themeColor="text1"/>
                <w:sz w:val="13"/>
                <w:szCs w:val="13"/>
              </w:rPr>
              <w:t xml:space="preserve"> family transcription factor APL isoform X2</w:t>
            </w:r>
          </w:p>
        </w:tc>
        <w:tc>
          <w:tcPr>
            <w:tcW w:w="1276" w:type="dxa"/>
          </w:tcPr>
          <w:p w:rsidR="003B0034" w:rsidRPr="00D725A7" w:rsidRDefault="003B0034" w:rsidP="00B90D1F">
            <w:pPr>
              <w:rPr>
                <w:rFonts w:ascii="Times" w:hAnsi="Times" w:cs="Times"/>
                <w:color w:val="000000" w:themeColor="text1"/>
                <w:sz w:val="13"/>
                <w:szCs w:val="13"/>
              </w:rPr>
            </w:pPr>
            <w:r w:rsidRPr="00867B56">
              <w:rPr>
                <w:rFonts w:ascii="Times" w:hAnsi="Times" w:cs="Times"/>
                <w:color w:val="000000" w:themeColor="text1"/>
                <w:sz w:val="13"/>
                <w:szCs w:val="13"/>
              </w:rPr>
              <w:t>scaffold473342</w:t>
            </w:r>
          </w:p>
        </w:tc>
        <w:tc>
          <w:tcPr>
            <w:tcW w:w="3535" w:type="dxa"/>
          </w:tcPr>
          <w:p w:rsidR="003B0034" w:rsidRPr="00D725A7" w:rsidRDefault="003B0034" w:rsidP="00B90D1F">
            <w:pPr>
              <w:rPr>
                <w:rFonts w:ascii="Times" w:hAnsi="Times" w:cs="Times"/>
                <w:color w:val="000000" w:themeColor="text1"/>
                <w:sz w:val="13"/>
                <w:szCs w:val="13"/>
              </w:rPr>
            </w:pPr>
            <w:r w:rsidRPr="00867B56">
              <w:rPr>
                <w:rFonts w:ascii="Times" w:hAnsi="Times" w:cs="Times"/>
                <w:color w:val="000000" w:themeColor="text1"/>
                <w:sz w:val="13"/>
                <w:szCs w:val="13"/>
              </w:rPr>
              <w:t>56177</w:t>
            </w:r>
          </w:p>
        </w:tc>
        <w:tc>
          <w:tcPr>
            <w:tcW w:w="2406" w:type="dxa"/>
          </w:tcPr>
          <w:p w:rsidR="003B0034" w:rsidRPr="00D725A7" w:rsidRDefault="003B0034" w:rsidP="00B90D1F">
            <w:pPr>
              <w:rPr>
                <w:rFonts w:ascii="Times" w:hAnsi="Times" w:cs="Times"/>
                <w:color w:val="000000" w:themeColor="text1"/>
                <w:sz w:val="13"/>
                <w:szCs w:val="13"/>
              </w:rPr>
            </w:pPr>
            <w:r w:rsidRPr="00D725A7">
              <w:rPr>
                <w:rFonts w:ascii="Times" w:hAnsi="Times" w:cs="Times"/>
                <w:color w:val="000000" w:themeColor="text1"/>
                <w:sz w:val="13"/>
                <w:szCs w:val="13"/>
              </w:rPr>
              <w:t xml:space="preserve">Various roles in biotic and abiotic stresses </w:t>
            </w:r>
            <w:r w:rsidRPr="00D725A7">
              <w:rPr>
                <w:rFonts w:ascii="Times" w:hAnsi="Times" w:cs="Times"/>
                <w:color w:val="000000" w:themeColor="text1"/>
                <w:sz w:val="13"/>
                <w:szCs w:val="13"/>
              </w:rPr>
              <w:fldChar w:fldCharType="begin" w:fldLock="1"/>
            </w:r>
            <w:r w:rsidRPr="00D725A7">
              <w:rPr>
                <w:rFonts w:ascii="Times" w:hAnsi="Times" w:cs="Times"/>
                <w:color w:val="000000" w:themeColor="text1"/>
                <w:sz w:val="13"/>
                <w:szCs w:val="13"/>
              </w:rPr>
              <w:instrText>ADDIN CSL_CITATION {"citationItems":[{"id":"ITEM-1","itemData":{"author":[{"dropping-particle":"","family":"Ambawat","given":"Supriya","non-dropping-particle":"","parse-names":false,"suffix":""},{"dropping-particle":"","family":"Sharma","given":"Poonam","non-dropping-particle":"","parse-names":false,"suffix":""},{"dropping-particle":"","family":"Yadav","given":"Neelam R","non-dropping-particle":"","parse-names":false,"suffix":""},{"dropping-particle":"","family":"Yadav","given":"Ram C","non-dropping-particle":"","parse-names":false,"suffix":""}],"container-title":"Physiology and Molecular Biology of Plants","id":"ITEM-1","issue":"3","issued":{"date-parts":[["2013"]]},"page":"307-321","publisher":"Springer","title":"MYB transcription factor genes as regulators for plant responses: an overview","type":"article-journal","volume":"19"},"uris":["http://www.mendeley.com/documents/?uuid=47b6a786-1ad4-41ce-8e16-ea2bc20d7bc6"]}],"mendeley":{"formattedCitation":"(Ambawat, Sharma, Yadav, &amp; Yadav, 2013)","plainTextFormattedCitation":"(Ambawat, Sharma, Yadav, &amp; Yadav, 2013)","previouslyFormattedCitation":"(Ambawat, Sharma, Yadav, &amp; Yadav, 2013)"},"properties":{"noteIndex":0},"schema":"https://github.com/citation-style-language/schema/raw/master/csl-citation.json"}</w:instrText>
            </w:r>
            <w:r w:rsidRPr="00D725A7">
              <w:rPr>
                <w:rFonts w:ascii="Times" w:hAnsi="Times" w:cs="Times"/>
                <w:color w:val="000000" w:themeColor="text1"/>
                <w:sz w:val="13"/>
                <w:szCs w:val="13"/>
              </w:rPr>
              <w:fldChar w:fldCharType="separate"/>
            </w:r>
            <w:r w:rsidRPr="00D725A7">
              <w:rPr>
                <w:rFonts w:ascii="Times" w:hAnsi="Times" w:cs="Times"/>
                <w:noProof/>
                <w:color w:val="000000" w:themeColor="text1"/>
                <w:sz w:val="13"/>
                <w:szCs w:val="13"/>
              </w:rPr>
              <w:t>(Ambawat, Sharma, Yadav, &amp; Yadav, 2013)</w:t>
            </w:r>
            <w:r w:rsidRPr="00D725A7">
              <w:rPr>
                <w:rFonts w:ascii="Times" w:hAnsi="Times" w:cs="Times"/>
                <w:color w:val="000000" w:themeColor="text1"/>
                <w:sz w:val="13"/>
                <w:szCs w:val="13"/>
              </w:rPr>
              <w:fldChar w:fldCharType="end"/>
            </w:r>
          </w:p>
        </w:tc>
      </w:tr>
      <w:tr w:rsidR="003B0034" w:rsidRPr="00D725A7" w:rsidTr="00B90D1F">
        <w:tc>
          <w:tcPr>
            <w:tcW w:w="2405" w:type="dxa"/>
          </w:tcPr>
          <w:p w:rsidR="003B0034" w:rsidRPr="00D725A7" w:rsidRDefault="003B0034" w:rsidP="00B90D1F">
            <w:pPr>
              <w:rPr>
                <w:color w:val="000000" w:themeColor="text1"/>
                <w:sz w:val="13"/>
                <w:szCs w:val="13"/>
              </w:rPr>
            </w:pPr>
            <w:r w:rsidRPr="00D725A7">
              <w:rPr>
                <w:color w:val="000000" w:themeColor="text1"/>
                <w:sz w:val="13"/>
                <w:szCs w:val="13"/>
              </w:rPr>
              <w:t>erd1</w:t>
            </w:r>
          </w:p>
        </w:tc>
        <w:tc>
          <w:tcPr>
            <w:tcW w:w="1276" w:type="dxa"/>
          </w:tcPr>
          <w:p w:rsidR="003B0034" w:rsidRPr="00D725A7" w:rsidRDefault="003B0034" w:rsidP="00B90D1F">
            <w:pPr>
              <w:rPr>
                <w:color w:val="000000" w:themeColor="text1"/>
                <w:sz w:val="13"/>
                <w:szCs w:val="13"/>
              </w:rPr>
            </w:pPr>
            <w:r w:rsidRPr="00D725A7">
              <w:rPr>
                <w:color w:val="000000" w:themeColor="text1"/>
                <w:sz w:val="13"/>
                <w:szCs w:val="13"/>
              </w:rPr>
              <w:t>tscaffold1451</w:t>
            </w:r>
          </w:p>
        </w:tc>
        <w:tc>
          <w:tcPr>
            <w:tcW w:w="3535" w:type="dxa"/>
          </w:tcPr>
          <w:p w:rsidR="003B0034" w:rsidRPr="00D725A7" w:rsidRDefault="003B0034" w:rsidP="00B90D1F">
            <w:pPr>
              <w:rPr>
                <w:color w:val="000000" w:themeColor="text1"/>
                <w:sz w:val="13"/>
                <w:szCs w:val="13"/>
              </w:rPr>
            </w:pPr>
            <w:r w:rsidRPr="00867B56">
              <w:rPr>
                <w:color w:val="000000" w:themeColor="text1"/>
                <w:sz w:val="13"/>
                <w:szCs w:val="13"/>
              </w:rPr>
              <w:t>366226, 366447</w:t>
            </w:r>
          </w:p>
        </w:tc>
        <w:tc>
          <w:tcPr>
            <w:tcW w:w="2406" w:type="dxa"/>
          </w:tcPr>
          <w:p w:rsidR="003B0034" w:rsidRPr="00D725A7" w:rsidRDefault="003B0034" w:rsidP="00B90D1F">
            <w:pPr>
              <w:rPr>
                <w:color w:val="000000" w:themeColor="text1"/>
                <w:sz w:val="13"/>
                <w:szCs w:val="13"/>
              </w:rPr>
            </w:pPr>
            <w:r w:rsidRPr="00D725A7">
              <w:rPr>
                <w:color w:val="000000" w:themeColor="text1"/>
                <w:sz w:val="13"/>
                <w:szCs w:val="13"/>
              </w:rPr>
              <w:t xml:space="preserve">Associated with dehydration stress </w:t>
            </w:r>
            <w:r w:rsidRPr="00D725A7">
              <w:rPr>
                <w:color w:val="000000" w:themeColor="text1"/>
                <w:sz w:val="13"/>
                <w:szCs w:val="13"/>
              </w:rPr>
              <w:fldChar w:fldCharType="begin" w:fldLock="1"/>
            </w:r>
            <w:r w:rsidRPr="00D725A7">
              <w:rPr>
                <w:color w:val="000000" w:themeColor="text1"/>
                <w:sz w:val="13"/>
                <w:szCs w:val="13"/>
              </w:rPr>
              <w:instrText>ADDIN CSL_CITATION {"citationItems":[{"id":"ITEM-1","itemData":{"author":[{"dropping-particle":"","family":"Simpson","given":"Sean D","non-dropping-particle":"","parse-names":false,"suffix":""},{"dropping-particle":"","family":"Nakashima","given":"Kazuo","non-dropping-particle":"","parse-names":false,"suffix":""},{"dropping-particle":"","family":"Narusaka","given":"Yoshihiro","non-dropping-particle":"","parse-names":false,"suffix":""},{"dropping-particle":"","family":"Seki","given":"Motoaki","non-dropping-particle":"","parse-names":false,"suffix":""},{"dropping-particle":"","family":"Shinozaki","given":"Kazuo","non-dropping-particle":"","parse-names":false,"suffix":""},{"dropping-particle":"","family":"Yamaguchi-Shinozaki","given":"Kazuko","non-dropping-particle":"","parse-names":false,"suffix":""}],"container-title":"The Plant Journal","id":"ITEM-1","issue":"2","issued":{"date-parts":[["2003"]]},"page":"259-270","publisher":"Wiley Online Library","title":"Two different novel cis-acting elements of erd1, a clpA homologous Arabidopsis gene function in induction by dehydration stress and dark-induced senescence","type":"article-journal","volume":"33"},"uris":["http://www.mendeley.com/documents/?uuid=331133c7-9e50-48bf-8dc3-95d8fe61dfca"]}],"mendeley":{"formattedCitation":"(Simpson et al., 2003)","plainTextFormattedCitation":"(Simpson et al., 2003)","previouslyFormattedCitation":"(Simpson et al., 2003)"},"properties":{"noteIndex":0},"schema":"https://github.com/citation-style-language/schema/raw/master/csl-citation.json"}</w:instrText>
            </w:r>
            <w:r w:rsidRPr="00D725A7">
              <w:rPr>
                <w:color w:val="000000" w:themeColor="text1"/>
                <w:sz w:val="13"/>
                <w:szCs w:val="13"/>
              </w:rPr>
              <w:fldChar w:fldCharType="separate"/>
            </w:r>
            <w:r w:rsidRPr="00D725A7">
              <w:rPr>
                <w:noProof/>
                <w:color w:val="000000" w:themeColor="text1"/>
                <w:sz w:val="13"/>
                <w:szCs w:val="13"/>
              </w:rPr>
              <w:t>(Simpson et al., 2003)</w:t>
            </w:r>
            <w:r w:rsidRPr="00D725A7">
              <w:rPr>
                <w:color w:val="000000" w:themeColor="text1"/>
                <w:sz w:val="13"/>
                <w:szCs w:val="13"/>
              </w:rPr>
              <w:fldChar w:fldCharType="end"/>
            </w:r>
          </w:p>
        </w:tc>
      </w:tr>
      <w:tr w:rsidR="003B0034" w:rsidRPr="00D725A7" w:rsidTr="00B90D1F">
        <w:tc>
          <w:tcPr>
            <w:tcW w:w="2405" w:type="dxa"/>
          </w:tcPr>
          <w:p w:rsidR="003B0034" w:rsidRPr="00D725A7" w:rsidRDefault="003B0034" w:rsidP="00B90D1F">
            <w:pPr>
              <w:rPr>
                <w:color w:val="000000" w:themeColor="text1"/>
                <w:sz w:val="13"/>
                <w:szCs w:val="13"/>
              </w:rPr>
            </w:pPr>
            <w:r>
              <w:rPr>
                <w:color w:val="000000" w:themeColor="text1"/>
                <w:sz w:val="13"/>
                <w:szCs w:val="13"/>
              </w:rPr>
              <w:t>FUSCA3</w:t>
            </w:r>
          </w:p>
        </w:tc>
        <w:tc>
          <w:tcPr>
            <w:tcW w:w="1276" w:type="dxa"/>
          </w:tcPr>
          <w:p w:rsidR="003B0034" w:rsidRPr="00D725A7" w:rsidRDefault="003B0034" w:rsidP="00B90D1F">
            <w:pPr>
              <w:rPr>
                <w:color w:val="000000" w:themeColor="text1"/>
                <w:sz w:val="13"/>
                <w:szCs w:val="13"/>
              </w:rPr>
            </w:pPr>
            <w:bookmarkStart w:id="0" w:name="_GoBack"/>
            <w:r w:rsidRPr="00802652">
              <w:rPr>
                <w:color w:val="000000" w:themeColor="text1"/>
                <w:sz w:val="13"/>
                <w:szCs w:val="13"/>
              </w:rPr>
              <w:t>C32543392</w:t>
            </w:r>
            <w:bookmarkEnd w:id="0"/>
          </w:p>
        </w:tc>
        <w:tc>
          <w:tcPr>
            <w:tcW w:w="3535" w:type="dxa"/>
          </w:tcPr>
          <w:p w:rsidR="003B0034" w:rsidRPr="00867B56" w:rsidRDefault="003B0034" w:rsidP="00B90D1F">
            <w:pPr>
              <w:rPr>
                <w:color w:val="000000" w:themeColor="text1"/>
                <w:sz w:val="13"/>
                <w:szCs w:val="13"/>
              </w:rPr>
            </w:pPr>
            <w:r w:rsidRPr="00802652">
              <w:rPr>
                <w:color w:val="000000" w:themeColor="text1"/>
                <w:sz w:val="13"/>
                <w:szCs w:val="13"/>
              </w:rPr>
              <w:t>18521</w:t>
            </w:r>
          </w:p>
        </w:tc>
        <w:tc>
          <w:tcPr>
            <w:tcW w:w="2406" w:type="dxa"/>
          </w:tcPr>
          <w:p w:rsidR="003B0034" w:rsidRPr="00D725A7" w:rsidRDefault="003B0034" w:rsidP="00B90D1F">
            <w:pPr>
              <w:rPr>
                <w:color w:val="000000" w:themeColor="text1"/>
                <w:sz w:val="13"/>
                <w:szCs w:val="13"/>
              </w:rPr>
            </w:pPr>
            <w:r>
              <w:rPr>
                <w:color w:val="000000" w:themeColor="text1"/>
                <w:sz w:val="13"/>
                <w:szCs w:val="13"/>
              </w:rPr>
              <w:t xml:space="preserve">A major regulator of induction of seed dormancy </w:t>
            </w:r>
            <w:r>
              <w:rPr>
                <w:color w:val="000000" w:themeColor="text1"/>
                <w:sz w:val="13"/>
                <w:szCs w:val="13"/>
              </w:rPr>
              <w:fldChar w:fldCharType="begin" w:fldLock="1"/>
            </w:r>
            <w:r>
              <w:rPr>
                <w:color w:val="000000" w:themeColor="text1"/>
                <w:sz w:val="13"/>
                <w:szCs w:val="13"/>
              </w:rPr>
              <w:instrText>ADDIN CSL_CITATION {"citationItems":[{"id":"ITEM-1","itemData":{"author":[{"dropping-particle":"","family":"Laitinen","given":"Roosa A E","non-dropping-particle":"","parse-names":false,"suffix":""}],"id":"ITEM-1","issued":{"date-parts":[["2015"]]},"publisher":"Wiley Online Library","title":"Molecular mechanisms in plant adaptation","type":"book"},"uris":["http://www.mendeley.com/documents/?uuid=ec14b9fb-7391-44e2-9ca9-b6c004238ee7"]}],"mendeley":{"formattedCitation":"(Laitinen, 2015)","plainTextFormattedCitation":"(Laitinen, 2015)","previouslyFormattedCitation":"(Laitinen, 2015)"},"properties":{"noteIndex":0},"schema":"https://github.com/citation-style-language/schema/raw/master/csl-citation.json"}</w:instrText>
            </w:r>
            <w:r>
              <w:rPr>
                <w:color w:val="000000" w:themeColor="text1"/>
                <w:sz w:val="13"/>
                <w:szCs w:val="13"/>
              </w:rPr>
              <w:fldChar w:fldCharType="separate"/>
            </w:r>
            <w:r w:rsidRPr="00AA3C0E">
              <w:rPr>
                <w:noProof/>
                <w:color w:val="000000" w:themeColor="text1"/>
                <w:sz w:val="13"/>
                <w:szCs w:val="13"/>
              </w:rPr>
              <w:t>(Laitinen, 2015)</w:t>
            </w:r>
            <w:r>
              <w:rPr>
                <w:color w:val="000000" w:themeColor="text1"/>
                <w:sz w:val="13"/>
                <w:szCs w:val="13"/>
              </w:rPr>
              <w:fldChar w:fldCharType="end"/>
            </w:r>
            <w:r>
              <w:rPr>
                <w:color w:val="000000" w:themeColor="text1"/>
                <w:sz w:val="13"/>
                <w:szCs w:val="13"/>
              </w:rPr>
              <w:t>.</w:t>
            </w:r>
          </w:p>
        </w:tc>
      </w:tr>
      <w:tr w:rsidR="003B0034" w:rsidRPr="00D725A7" w:rsidTr="00B90D1F">
        <w:tc>
          <w:tcPr>
            <w:tcW w:w="2405" w:type="dxa"/>
          </w:tcPr>
          <w:p w:rsidR="003B0034" w:rsidRDefault="003B0034" w:rsidP="00B90D1F">
            <w:pPr>
              <w:rPr>
                <w:color w:val="000000" w:themeColor="text1"/>
                <w:sz w:val="13"/>
                <w:szCs w:val="13"/>
              </w:rPr>
            </w:pPr>
            <w:r>
              <w:rPr>
                <w:rFonts w:ascii="Times New Roman" w:hAnsi="Times New Roman" w:cs="Times New Roman"/>
                <w:sz w:val="12"/>
                <w:szCs w:val="12"/>
                <w:lang w:val="fi-FI"/>
              </w:rPr>
              <w:t>SFR2</w:t>
            </w:r>
          </w:p>
        </w:tc>
        <w:tc>
          <w:tcPr>
            <w:tcW w:w="1276" w:type="dxa"/>
          </w:tcPr>
          <w:p w:rsidR="003B0034" w:rsidRPr="00802652" w:rsidRDefault="003B0034" w:rsidP="00B90D1F">
            <w:pPr>
              <w:rPr>
                <w:color w:val="000000" w:themeColor="text1"/>
                <w:sz w:val="13"/>
                <w:szCs w:val="13"/>
              </w:rPr>
            </w:pPr>
            <w:r w:rsidRPr="00AA3C0E">
              <w:rPr>
                <w:color w:val="000000" w:themeColor="text1"/>
                <w:sz w:val="13"/>
                <w:szCs w:val="13"/>
              </w:rPr>
              <w:t>tscaffold1329</w:t>
            </w:r>
          </w:p>
        </w:tc>
        <w:tc>
          <w:tcPr>
            <w:tcW w:w="3535" w:type="dxa"/>
          </w:tcPr>
          <w:p w:rsidR="003B0034" w:rsidRPr="00802652" w:rsidRDefault="003B0034" w:rsidP="00B90D1F">
            <w:pPr>
              <w:rPr>
                <w:color w:val="000000" w:themeColor="text1"/>
                <w:sz w:val="13"/>
                <w:szCs w:val="13"/>
              </w:rPr>
            </w:pPr>
            <w:r w:rsidRPr="00AA3C0E">
              <w:rPr>
                <w:color w:val="000000" w:themeColor="text1"/>
                <w:sz w:val="13"/>
                <w:szCs w:val="13"/>
              </w:rPr>
              <w:t>19929</w:t>
            </w:r>
          </w:p>
        </w:tc>
        <w:tc>
          <w:tcPr>
            <w:tcW w:w="2406" w:type="dxa"/>
          </w:tcPr>
          <w:p w:rsidR="003B0034" w:rsidRDefault="003B0034" w:rsidP="00B90D1F">
            <w:pPr>
              <w:rPr>
                <w:color w:val="000000" w:themeColor="text1"/>
                <w:sz w:val="13"/>
                <w:szCs w:val="13"/>
              </w:rPr>
            </w:pPr>
            <w:r>
              <w:rPr>
                <w:color w:val="000000" w:themeColor="text1"/>
                <w:sz w:val="13"/>
                <w:szCs w:val="13"/>
              </w:rPr>
              <w:t xml:space="preserve">Has a role in freezing tolerance in </w:t>
            </w:r>
            <w:r w:rsidRPr="005978FF">
              <w:rPr>
                <w:i/>
                <w:iCs/>
                <w:color w:val="000000" w:themeColor="text1"/>
                <w:sz w:val="13"/>
                <w:szCs w:val="13"/>
              </w:rPr>
              <w:t>Arabidopsis thaliana</w:t>
            </w:r>
            <w:r>
              <w:rPr>
                <w:color w:val="000000" w:themeColor="text1"/>
                <w:sz w:val="13"/>
                <w:szCs w:val="13"/>
              </w:rPr>
              <w:t xml:space="preserve"> </w:t>
            </w:r>
            <w:r>
              <w:rPr>
                <w:color w:val="000000" w:themeColor="text1"/>
                <w:sz w:val="13"/>
                <w:szCs w:val="13"/>
              </w:rPr>
              <w:fldChar w:fldCharType="begin" w:fldLock="1"/>
            </w:r>
            <w:r>
              <w:rPr>
                <w:color w:val="000000" w:themeColor="text1"/>
                <w:sz w:val="13"/>
                <w:szCs w:val="13"/>
              </w:rPr>
              <w:instrText>ADDIN CSL_CITATION {"citationItems":[{"id":"ITEM-1","itemData":{"author":[{"dropping-particle":"","family":"McKown","given":"Robert","non-dropping-particle":"","parse-names":false,"suffix":""},{"dropping-particle":"","family":"Kuroki","given":"Gary","non-dropping-particle":"","parse-names":false,"suffix":""},{"dropping-particle":"","family":"Warren","given":"Gareth","non-dropping-particle":"","parse-names":false,"suffix":""}],"container-title":"Journal of Experimental Botany","id":"ITEM-1","issue":"12","issued":{"date-parts":[["1996"]]},"page":"1919-1925","publisher":"Oxford University Press","title":"Cold responses of Arabidopsis mutants impaired in freezing tolerance","type":"article-journal","volume":"47"},"uris":["http://www.mendeley.com/documents/?uuid=b4d619c3-4d20-43a9-b4de-e7b433d5444e"]},{"id":"ITEM-2","itemData":{"author":[{"dropping-particle":"","family":"Thorlby","given":"Glenn","non-dropping-particle":"","parse-names":false,"suffix":""},{"dropping-particle":"","family":"Fourrier","given":"Nicolas","non-dropping-particle":"","parse-names":false,"suffix":""},{"dropping-particle":"","family":"Warren","given":"Gareth","non-dropping-particle":"","parse-names":false,"suffix":""}],"container-title":"The Plant Cell","id":"ITEM-2","issue":"8","issued":{"date-parts":[["2004"]]},"page":"2192-2203","publisher":"Am Soc Plant Biol","title":"The SENSITIVE TO FREEZING2 gene, required for freezing tolerance in Arabidopsis thaliana, encodes a $β$-glucosidase","type":"article-journal","volume":"16"},"uris":["http://www.mendeley.com/documents/?uuid=36834335-ab44-4f87-9877-31aec6fece1c"]}],"mendeley":{"formattedCitation":"(McKown, Kuroki, &amp; Warren, 1996; Thorlby, Fourrier, &amp; Warren, 2004)","plainTextFormattedCitation":"(McKown, Kuroki, &amp; Warren, 1996; Thorlby, Fourrier, &amp; Warren, 2004)","previouslyFormattedCitation":"(McKown, Kuroki, &amp; Warren, 1996; Thorlby, Fourrier, &amp; Warren, 2004)"},"properties":{"noteIndex":0},"schema":"https://github.com/citation-style-language/schema/raw/master/csl-citation.json"}</w:instrText>
            </w:r>
            <w:r>
              <w:rPr>
                <w:color w:val="000000" w:themeColor="text1"/>
                <w:sz w:val="13"/>
                <w:szCs w:val="13"/>
              </w:rPr>
              <w:fldChar w:fldCharType="separate"/>
            </w:r>
            <w:r w:rsidRPr="00AA3C0E">
              <w:rPr>
                <w:noProof/>
                <w:color w:val="000000" w:themeColor="text1"/>
                <w:sz w:val="13"/>
                <w:szCs w:val="13"/>
              </w:rPr>
              <w:t>(McKown, Kuroki, &amp; Warren, 1996; Thorlby, Fourrier, &amp; Warren, 2004)</w:t>
            </w:r>
            <w:r>
              <w:rPr>
                <w:color w:val="000000" w:themeColor="text1"/>
                <w:sz w:val="13"/>
                <w:szCs w:val="13"/>
              </w:rPr>
              <w:fldChar w:fldCharType="end"/>
            </w:r>
          </w:p>
        </w:tc>
      </w:tr>
    </w:tbl>
    <w:p w:rsidR="00B47887" w:rsidRDefault="00B47887" w:rsidP="00B47887">
      <w:pPr>
        <w:widowControl w:val="0"/>
        <w:autoSpaceDE w:val="0"/>
        <w:autoSpaceDN w:val="0"/>
        <w:adjustRightInd w:val="0"/>
        <w:ind w:left="480" w:hanging="480"/>
      </w:pPr>
    </w:p>
    <w:p w:rsidR="003B0034" w:rsidRDefault="003B0034" w:rsidP="00B47887">
      <w:pPr>
        <w:widowControl w:val="0"/>
        <w:autoSpaceDE w:val="0"/>
        <w:autoSpaceDN w:val="0"/>
        <w:adjustRightInd w:val="0"/>
        <w:ind w:left="480" w:hanging="480"/>
      </w:pPr>
    </w:p>
    <w:p w:rsidR="00B47887" w:rsidRPr="00AB014F" w:rsidRDefault="00B47887" w:rsidP="00B47887">
      <w:pPr>
        <w:widowControl w:val="0"/>
        <w:autoSpaceDE w:val="0"/>
        <w:autoSpaceDN w:val="0"/>
        <w:adjustRightInd w:val="0"/>
        <w:ind w:left="480" w:hanging="480"/>
        <w:rPr>
          <w:b/>
          <w:bCs/>
          <w:sz w:val="18"/>
          <w:szCs w:val="18"/>
        </w:rPr>
      </w:pPr>
      <w:r w:rsidRPr="00AB014F">
        <w:rPr>
          <w:b/>
          <w:bCs/>
          <w:sz w:val="18"/>
          <w:szCs w:val="18"/>
        </w:rPr>
        <w:t>References</w:t>
      </w:r>
    </w:p>
    <w:p w:rsidR="003B0034" w:rsidRPr="003B0034" w:rsidRDefault="003B0034" w:rsidP="003B0034">
      <w:pPr>
        <w:widowControl w:val="0"/>
        <w:autoSpaceDE w:val="0"/>
        <w:autoSpaceDN w:val="0"/>
        <w:adjustRightInd w:val="0"/>
        <w:ind w:left="480" w:hanging="480"/>
        <w:rPr>
          <w:rFonts w:ascii="Calibri" w:hAnsi="Calibri" w:cs="Calibri"/>
          <w:noProof/>
        </w:rPr>
      </w:pPr>
      <w:r>
        <w:fldChar w:fldCharType="begin" w:fldLock="1"/>
      </w:r>
      <w:r>
        <w:instrText xml:space="preserve">ADDIN Mendeley Bibliography CSL_BIBLIOGRAPHY </w:instrText>
      </w:r>
      <w:r>
        <w:fldChar w:fldCharType="separate"/>
      </w:r>
      <w:r w:rsidRPr="003B0034">
        <w:rPr>
          <w:rFonts w:ascii="Calibri" w:hAnsi="Calibri" w:cs="Calibri"/>
          <w:noProof/>
        </w:rPr>
        <w:t xml:space="preserve">Ambawat, S., Sharma, P., Yadav, N. R., &amp; Yadav, R. C. (2013). MYB transcription factor genes as regulators for plant responses: an overview. </w:t>
      </w:r>
      <w:r w:rsidRPr="003B0034">
        <w:rPr>
          <w:rFonts w:ascii="Calibri" w:hAnsi="Calibri" w:cs="Calibri"/>
          <w:i/>
          <w:iCs/>
          <w:noProof/>
        </w:rPr>
        <w:t>Physiology and Molecular Biology of Plants</w:t>
      </w:r>
      <w:r w:rsidRPr="003B0034">
        <w:rPr>
          <w:rFonts w:ascii="Calibri" w:hAnsi="Calibri" w:cs="Calibri"/>
          <w:noProof/>
        </w:rPr>
        <w:t xml:space="preserve">, </w:t>
      </w:r>
      <w:r w:rsidRPr="003B0034">
        <w:rPr>
          <w:rFonts w:ascii="Calibri" w:hAnsi="Calibri" w:cs="Calibri"/>
          <w:i/>
          <w:iCs/>
          <w:noProof/>
        </w:rPr>
        <w:t>19</w:t>
      </w:r>
      <w:r w:rsidRPr="003B0034">
        <w:rPr>
          <w:rFonts w:ascii="Calibri" w:hAnsi="Calibri" w:cs="Calibri"/>
          <w:noProof/>
        </w:rPr>
        <w:t>(3), 307–321.</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Badger, M. R., &amp; Price, G. D. (1994). The role of carbonic anhydrase in photosynthesis. </w:t>
      </w:r>
      <w:r w:rsidRPr="003B0034">
        <w:rPr>
          <w:rFonts w:ascii="Calibri" w:hAnsi="Calibri" w:cs="Calibri"/>
          <w:i/>
          <w:iCs/>
          <w:noProof/>
        </w:rPr>
        <w:t>Annual Review of Plant Biology</w:t>
      </w:r>
      <w:r w:rsidRPr="003B0034">
        <w:rPr>
          <w:rFonts w:ascii="Calibri" w:hAnsi="Calibri" w:cs="Calibri"/>
          <w:noProof/>
        </w:rPr>
        <w:t xml:space="preserve">, </w:t>
      </w:r>
      <w:r w:rsidRPr="003B0034">
        <w:rPr>
          <w:rFonts w:ascii="Calibri" w:hAnsi="Calibri" w:cs="Calibri"/>
          <w:i/>
          <w:iCs/>
          <w:noProof/>
        </w:rPr>
        <w:t>45</w:t>
      </w:r>
      <w:r w:rsidRPr="003B0034">
        <w:rPr>
          <w:rFonts w:ascii="Calibri" w:hAnsi="Calibri" w:cs="Calibri"/>
          <w:noProof/>
        </w:rPr>
        <w:t>(1), 369–392.</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Barkan, A., &amp; Small, I. (2014). Pentatricopeptide Repeat Proteins in Plants. </w:t>
      </w:r>
      <w:r w:rsidRPr="003B0034">
        <w:rPr>
          <w:rFonts w:ascii="Calibri" w:hAnsi="Calibri" w:cs="Calibri"/>
          <w:i/>
          <w:iCs/>
          <w:noProof/>
        </w:rPr>
        <w:t>Annual Review of Plant Biology</w:t>
      </w:r>
      <w:r w:rsidRPr="003B0034">
        <w:rPr>
          <w:rFonts w:ascii="Calibri" w:hAnsi="Calibri" w:cs="Calibri"/>
          <w:noProof/>
        </w:rPr>
        <w:t xml:space="preserve">, </w:t>
      </w:r>
      <w:r w:rsidRPr="003B0034">
        <w:rPr>
          <w:rFonts w:ascii="Calibri" w:hAnsi="Calibri" w:cs="Calibri"/>
          <w:i/>
          <w:iCs/>
          <w:noProof/>
        </w:rPr>
        <w:t>65</w:t>
      </w:r>
      <w:r w:rsidRPr="003B0034">
        <w:rPr>
          <w:rFonts w:ascii="Calibri" w:hAnsi="Calibri" w:cs="Calibri"/>
          <w:noProof/>
        </w:rPr>
        <w:t>(1), 415–442. doi:10.1146/annurev-arplant-050213-040159</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Foxe, J. P., &amp; Wright, S. I. (2009). Signature of diversifying selection on members of the pentatricopeptide repeat protein family in Arabidopsis lyrata. </w:t>
      </w:r>
      <w:r w:rsidRPr="003B0034">
        <w:rPr>
          <w:rFonts w:ascii="Calibri" w:hAnsi="Calibri" w:cs="Calibri"/>
          <w:i/>
          <w:iCs/>
          <w:noProof/>
        </w:rPr>
        <w:t>Genetics</w:t>
      </w:r>
      <w:r w:rsidRPr="003B0034">
        <w:rPr>
          <w:rFonts w:ascii="Calibri" w:hAnsi="Calibri" w:cs="Calibri"/>
          <w:noProof/>
        </w:rPr>
        <w:t xml:space="preserve">, </w:t>
      </w:r>
      <w:r w:rsidRPr="003B0034">
        <w:rPr>
          <w:rFonts w:ascii="Calibri" w:hAnsi="Calibri" w:cs="Calibri"/>
          <w:i/>
          <w:iCs/>
          <w:noProof/>
        </w:rPr>
        <w:t>183</w:t>
      </w:r>
      <w:r w:rsidRPr="003B0034">
        <w:rPr>
          <w:rFonts w:ascii="Calibri" w:hAnsi="Calibri" w:cs="Calibri"/>
          <w:noProof/>
        </w:rPr>
        <w:t>(2), 663–672. doi:10.1534/genetics.109.104778</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Hong, Y., Zhang, W., &amp; Wang, X. (2010). Phospholipase D and phosphatidic acid signalling in plant response to drought and salinity. </w:t>
      </w:r>
      <w:r w:rsidRPr="003B0034">
        <w:rPr>
          <w:rFonts w:ascii="Calibri" w:hAnsi="Calibri" w:cs="Calibri"/>
          <w:i/>
          <w:iCs/>
          <w:noProof/>
        </w:rPr>
        <w:t>Plant, Cell and Environment</w:t>
      </w:r>
      <w:r w:rsidRPr="003B0034">
        <w:rPr>
          <w:rFonts w:ascii="Calibri" w:hAnsi="Calibri" w:cs="Calibri"/>
          <w:noProof/>
        </w:rPr>
        <w:t xml:space="preserve">, </w:t>
      </w:r>
      <w:r w:rsidRPr="003B0034">
        <w:rPr>
          <w:rFonts w:ascii="Calibri" w:hAnsi="Calibri" w:cs="Calibri"/>
          <w:i/>
          <w:iCs/>
          <w:noProof/>
        </w:rPr>
        <w:t>33</w:t>
      </w:r>
      <w:r w:rsidRPr="003B0034">
        <w:rPr>
          <w:rFonts w:ascii="Calibri" w:hAnsi="Calibri" w:cs="Calibri"/>
          <w:noProof/>
        </w:rPr>
        <w:t>(4), 627–635. doi:10.1111/j.1365-3040.2009.02087.x</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Jin, H., Axtell, M. J., Dahlbeck, D., Ekwenna, O., Zhang, S., Staskawicz, B., &amp; Baker, B. (2002). NPK1, and MEKK1-like mitogen-activated protein kinase kinase kinase, regulates innate immunity and development in plants. </w:t>
      </w:r>
      <w:r w:rsidRPr="003B0034">
        <w:rPr>
          <w:rFonts w:ascii="Calibri" w:hAnsi="Calibri" w:cs="Calibri"/>
          <w:i/>
          <w:iCs/>
          <w:noProof/>
        </w:rPr>
        <w:t>Developmental Cell</w:t>
      </w:r>
      <w:r w:rsidRPr="003B0034">
        <w:rPr>
          <w:rFonts w:ascii="Calibri" w:hAnsi="Calibri" w:cs="Calibri"/>
          <w:noProof/>
        </w:rPr>
        <w:t xml:space="preserve">, </w:t>
      </w:r>
      <w:r w:rsidRPr="003B0034">
        <w:rPr>
          <w:rFonts w:ascii="Calibri" w:hAnsi="Calibri" w:cs="Calibri"/>
          <w:i/>
          <w:iCs/>
          <w:noProof/>
        </w:rPr>
        <w:t>3</w:t>
      </w:r>
      <w:r w:rsidRPr="003B0034">
        <w:rPr>
          <w:rFonts w:ascii="Calibri" w:hAnsi="Calibri" w:cs="Calibri"/>
          <w:noProof/>
        </w:rPr>
        <w:t>(2), 291–297. doi:10.1016/S1534-5807(02)00205-8</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Jordan, R., Hoffmann, A. A., Dillon, S. K., &amp; Prober, S. M. (2017). Evidence of genomic adaptation to climate in Eucalyptus microcarpa: implications for adaptive potential to projected climate change. </w:t>
      </w:r>
      <w:r w:rsidRPr="003B0034">
        <w:rPr>
          <w:rFonts w:ascii="Calibri" w:hAnsi="Calibri" w:cs="Calibri"/>
          <w:i/>
          <w:iCs/>
          <w:noProof/>
        </w:rPr>
        <w:t>Molecular Ecology</w:t>
      </w:r>
      <w:r w:rsidRPr="003B0034">
        <w:rPr>
          <w:rFonts w:ascii="Calibri" w:hAnsi="Calibri" w:cs="Calibri"/>
          <w:noProof/>
        </w:rPr>
        <w:t>, 0–2. doi:10.1111/mec.14341</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Kang, C., He, S., Zhai, H., Li, R., Zhao, N., &amp; Liu, Q. (2018). A sweetpotato auxin response factor gene (IbARF5) is involved in carotenoid biosynthesis and salt and drought tolerance in </w:t>
      </w:r>
      <w:r w:rsidRPr="003B0034">
        <w:rPr>
          <w:rFonts w:ascii="Calibri" w:hAnsi="Calibri" w:cs="Calibri"/>
          <w:noProof/>
        </w:rPr>
        <w:lastRenderedPageBreak/>
        <w:t xml:space="preserve">transgenic Arabidopsis. </w:t>
      </w:r>
      <w:r w:rsidRPr="003B0034">
        <w:rPr>
          <w:rFonts w:ascii="Calibri" w:hAnsi="Calibri" w:cs="Calibri"/>
          <w:i/>
          <w:iCs/>
          <w:noProof/>
        </w:rPr>
        <w:t>Frontiers in Plant Science</w:t>
      </w:r>
      <w:r w:rsidRPr="003B0034">
        <w:rPr>
          <w:rFonts w:ascii="Calibri" w:hAnsi="Calibri" w:cs="Calibri"/>
          <w:noProof/>
        </w:rPr>
        <w:t xml:space="preserve">, </w:t>
      </w:r>
      <w:r w:rsidRPr="003B0034">
        <w:rPr>
          <w:rFonts w:ascii="Calibri" w:hAnsi="Calibri" w:cs="Calibri"/>
          <w:i/>
          <w:iCs/>
          <w:noProof/>
        </w:rPr>
        <w:t>9</w:t>
      </w:r>
      <w:r w:rsidRPr="003B0034">
        <w:rPr>
          <w:rFonts w:ascii="Calibri" w:hAnsi="Calibri" w:cs="Calibri"/>
          <w:noProof/>
        </w:rPr>
        <w:t>.</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Laitinen, R. A. E. (2015). </w:t>
      </w:r>
      <w:r w:rsidRPr="003B0034">
        <w:rPr>
          <w:rFonts w:ascii="Calibri" w:hAnsi="Calibri" w:cs="Calibri"/>
          <w:i/>
          <w:iCs/>
          <w:noProof/>
        </w:rPr>
        <w:t>Molecular mechanisms in plant adaptation</w:t>
      </w:r>
      <w:r w:rsidRPr="003B0034">
        <w:rPr>
          <w:rFonts w:ascii="Calibri" w:hAnsi="Calibri" w:cs="Calibri"/>
          <w:noProof/>
        </w:rPr>
        <w:t>. Wiley Online Library.</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Liu, S., Zhang, Y., Feng, Q., Qin, L., Pan, C., Lamin-Samu, A. T., &amp; Lu, G. (2018). Tomato AUXIN RESPONSE FACTOR 5 regulates fruit set and development via the mediation of auxin and gibberellin signaling. </w:t>
      </w:r>
      <w:r w:rsidRPr="003B0034">
        <w:rPr>
          <w:rFonts w:ascii="Calibri" w:hAnsi="Calibri" w:cs="Calibri"/>
          <w:i/>
          <w:iCs/>
          <w:noProof/>
        </w:rPr>
        <w:t>Scientific Reports</w:t>
      </w:r>
      <w:r w:rsidRPr="003B0034">
        <w:rPr>
          <w:rFonts w:ascii="Calibri" w:hAnsi="Calibri" w:cs="Calibri"/>
          <w:noProof/>
        </w:rPr>
        <w:t xml:space="preserve">, </w:t>
      </w:r>
      <w:r w:rsidRPr="003B0034">
        <w:rPr>
          <w:rFonts w:ascii="Calibri" w:hAnsi="Calibri" w:cs="Calibri"/>
          <w:i/>
          <w:iCs/>
          <w:noProof/>
        </w:rPr>
        <w:t>8</w:t>
      </w:r>
      <w:r w:rsidRPr="003B0034">
        <w:rPr>
          <w:rFonts w:ascii="Calibri" w:hAnsi="Calibri" w:cs="Calibri"/>
          <w:noProof/>
        </w:rPr>
        <w:t>(1), 2971.</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McKown, R., Kuroki, G., &amp; Warren, G. (1996). Cold responses of Arabidopsis mutants impaired in freezing tolerance. </w:t>
      </w:r>
      <w:r w:rsidRPr="003B0034">
        <w:rPr>
          <w:rFonts w:ascii="Calibri" w:hAnsi="Calibri" w:cs="Calibri"/>
          <w:i/>
          <w:iCs/>
          <w:noProof/>
        </w:rPr>
        <w:t>Journal of Experimental Botany</w:t>
      </w:r>
      <w:r w:rsidRPr="003B0034">
        <w:rPr>
          <w:rFonts w:ascii="Calibri" w:hAnsi="Calibri" w:cs="Calibri"/>
          <w:noProof/>
        </w:rPr>
        <w:t xml:space="preserve">, </w:t>
      </w:r>
      <w:r w:rsidRPr="003B0034">
        <w:rPr>
          <w:rFonts w:ascii="Calibri" w:hAnsi="Calibri" w:cs="Calibri"/>
          <w:i/>
          <w:iCs/>
          <w:noProof/>
        </w:rPr>
        <w:t>47</w:t>
      </w:r>
      <w:r w:rsidRPr="003B0034">
        <w:rPr>
          <w:rFonts w:ascii="Calibri" w:hAnsi="Calibri" w:cs="Calibri"/>
          <w:noProof/>
        </w:rPr>
        <w:t>(12), 1919–1925.</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Rosado, A., Schapire, A. L., Bressan, R. A., Harfouche, A. L., Hasegawa, P. M., Valpuesta, V., &amp; Botella, M. A. (2006). The Arabidopsis tetratricopeptide repeat-containing protein TTL1 is required for osmotic stress responses and abscisic acid sensitivity. </w:t>
      </w:r>
      <w:r w:rsidRPr="003B0034">
        <w:rPr>
          <w:rFonts w:ascii="Calibri" w:hAnsi="Calibri" w:cs="Calibri"/>
          <w:i/>
          <w:iCs/>
          <w:noProof/>
        </w:rPr>
        <w:t>Plant Physiology</w:t>
      </w:r>
      <w:r w:rsidRPr="003B0034">
        <w:rPr>
          <w:rFonts w:ascii="Calibri" w:hAnsi="Calibri" w:cs="Calibri"/>
          <w:noProof/>
        </w:rPr>
        <w:t xml:space="preserve">, </w:t>
      </w:r>
      <w:r w:rsidRPr="003B0034">
        <w:rPr>
          <w:rFonts w:ascii="Calibri" w:hAnsi="Calibri" w:cs="Calibri"/>
          <w:i/>
          <w:iCs/>
          <w:noProof/>
        </w:rPr>
        <w:t>142</w:t>
      </w:r>
      <w:r w:rsidRPr="003B0034">
        <w:rPr>
          <w:rFonts w:ascii="Calibri" w:hAnsi="Calibri" w:cs="Calibri"/>
          <w:noProof/>
        </w:rPr>
        <w:t>(3), 1113–1126.</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Scalfi, M., Mosca, E., Di Pierro, E. A., Troggio, M., Vendramin, G. G., Sperisen, C., … Neale, D. B. (2014). Micro-and macro-geographic scale effect on the molecular imprint of selection and adaptation in Norway spruce. </w:t>
      </w:r>
      <w:r w:rsidRPr="003B0034">
        <w:rPr>
          <w:rFonts w:ascii="Calibri" w:hAnsi="Calibri" w:cs="Calibri"/>
          <w:i/>
          <w:iCs/>
          <w:noProof/>
        </w:rPr>
        <w:t>PLoS ONE</w:t>
      </w:r>
      <w:r w:rsidRPr="003B0034">
        <w:rPr>
          <w:rFonts w:ascii="Calibri" w:hAnsi="Calibri" w:cs="Calibri"/>
          <w:noProof/>
        </w:rPr>
        <w:t xml:space="preserve">, </w:t>
      </w:r>
      <w:r w:rsidRPr="003B0034">
        <w:rPr>
          <w:rFonts w:ascii="Calibri" w:hAnsi="Calibri" w:cs="Calibri"/>
          <w:i/>
          <w:iCs/>
          <w:noProof/>
        </w:rPr>
        <w:t>9</w:t>
      </w:r>
      <w:r w:rsidRPr="003B0034">
        <w:rPr>
          <w:rFonts w:ascii="Calibri" w:hAnsi="Calibri" w:cs="Calibri"/>
          <w:noProof/>
        </w:rPr>
        <w:t>(12), 1–22. doi:10.1371/journal.pone.0115499</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Simpson, S. D., Nakashima, K., Narusaka, Y., Seki, M., Shinozaki, K., &amp; Yamaguchi-Shinozaki, K. (2003). Two different novel cis-acting elements of erd1, a clpA homologous Arabidopsis gene function in induction by dehydration stress and dark-induced senescence. </w:t>
      </w:r>
      <w:r w:rsidRPr="003B0034">
        <w:rPr>
          <w:rFonts w:ascii="Calibri" w:hAnsi="Calibri" w:cs="Calibri"/>
          <w:i/>
          <w:iCs/>
          <w:noProof/>
        </w:rPr>
        <w:t>The Plant Journal</w:t>
      </w:r>
      <w:r w:rsidRPr="003B0034">
        <w:rPr>
          <w:rFonts w:ascii="Calibri" w:hAnsi="Calibri" w:cs="Calibri"/>
          <w:noProof/>
        </w:rPr>
        <w:t xml:space="preserve">, </w:t>
      </w:r>
      <w:r w:rsidRPr="003B0034">
        <w:rPr>
          <w:rFonts w:ascii="Calibri" w:hAnsi="Calibri" w:cs="Calibri"/>
          <w:i/>
          <w:iCs/>
          <w:noProof/>
        </w:rPr>
        <w:t>33</w:t>
      </w:r>
      <w:r w:rsidRPr="003B0034">
        <w:rPr>
          <w:rFonts w:ascii="Calibri" w:hAnsi="Calibri" w:cs="Calibri"/>
          <w:noProof/>
        </w:rPr>
        <w:t>(2), 259–270.</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Thorlby, G., Fourrier, N., &amp; Warren, G. (2004). The SENSITIVE TO FREEZING2 gene, required for freezing tolerance in Arabidopsis thaliana, encodes a $β$-glucosidase. </w:t>
      </w:r>
      <w:r w:rsidRPr="003B0034">
        <w:rPr>
          <w:rFonts w:ascii="Calibri" w:hAnsi="Calibri" w:cs="Calibri"/>
          <w:i/>
          <w:iCs/>
          <w:noProof/>
        </w:rPr>
        <w:t>The Plant Cell</w:t>
      </w:r>
      <w:r w:rsidRPr="003B0034">
        <w:rPr>
          <w:rFonts w:ascii="Calibri" w:hAnsi="Calibri" w:cs="Calibri"/>
          <w:noProof/>
        </w:rPr>
        <w:t xml:space="preserve">, </w:t>
      </w:r>
      <w:r w:rsidRPr="003B0034">
        <w:rPr>
          <w:rFonts w:ascii="Calibri" w:hAnsi="Calibri" w:cs="Calibri"/>
          <w:i/>
          <w:iCs/>
          <w:noProof/>
        </w:rPr>
        <w:t>16</w:t>
      </w:r>
      <w:r w:rsidRPr="003B0034">
        <w:rPr>
          <w:rFonts w:ascii="Calibri" w:hAnsi="Calibri" w:cs="Calibri"/>
          <w:noProof/>
        </w:rPr>
        <w:t>(8), 2192–2203.</w:t>
      </w:r>
    </w:p>
    <w:p w:rsidR="003B0034" w:rsidRPr="003B0034" w:rsidRDefault="003B0034" w:rsidP="003B0034">
      <w:pPr>
        <w:widowControl w:val="0"/>
        <w:autoSpaceDE w:val="0"/>
        <w:autoSpaceDN w:val="0"/>
        <w:adjustRightInd w:val="0"/>
        <w:ind w:left="480" w:hanging="480"/>
        <w:rPr>
          <w:rFonts w:ascii="Calibri" w:hAnsi="Calibri" w:cs="Calibri"/>
          <w:noProof/>
        </w:rPr>
      </w:pPr>
      <w:r w:rsidRPr="003B0034">
        <w:rPr>
          <w:rFonts w:ascii="Calibri" w:hAnsi="Calibri" w:cs="Calibri"/>
          <w:noProof/>
        </w:rPr>
        <w:t xml:space="preserve">Yeaman, S., Hodgins, K. A., Lotterhos, K. E., Suren, H., Nadeau, S., Degner, J. C., … Aitken, S. N. (2016). Convergent local adaptation to climate in distantly related conifers. </w:t>
      </w:r>
      <w:r w:rsidRPr="003B0034">
        <w:rPr>
          <w:rFonts w:ascii="Calibri" w:hAnsi="Calibri" w:cs="Calibri"/>
          <w:i/>
          <w:iCs/>
          <w:noProof/>
        </w:rPr>
        <w:t>Science</w:t>
      </w:r>
      <w:r w:rsidRPr="003B0034">
        <w:rPr>
          <w:rFonts w:ascii="Calibri" w:hAnsi="Calibri" w:cs="Calibri"/>
          <w:noProof/>
        </w:rPr>
        <w:t xml:space="preserve">, </w:t>
      </w:r>
      <w:r w:rsidRPr="003B0034">
        <w:rPr>
          <w:rFonts w:ascii="Calibri" w:hAnsi="Calibri" w:cs="Calibri"/>
          <w:i/>
          <w:iCs/>
          <w:noProof/>
        </w:rPr>
        <w:t>353</w:t>
      </w:r>
      <w:r w:rsidRPr="003B0034">
        <w:rPr>
          <w:rFonts w:ascii="Calibri" w:hAnsi="Calibri" w:cs="Calibri"/>
          <w:noProof/>
        </w:rPr>
        <w:t>(6306), 1431–1433. doi:10.1126/science.aaf7812</w:t>
      </w:r>
    </w:p>
    <w:p w:rsidR="00B47887" w:rsidRDefault="003B0034">
      <w:r>
        <w:fldChar w:fldCharType="end"/>
      </w:r>
    </w:p>
    <w:sectPr w:rsidR="00B47887" w:rsidSect="002A4A1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5C"/>
    <w:rsid w:val="002A4A10"/>
    <w:rsid w:val="003B0034"/>
    <w:rsid w:val="00430483"/>
    <w:rsid w:val="0055229A"/>
    <w:rsid w:val="005B6C87"/>
    <w:rsid w:val="005D1814"/>
    <w:rsid w:val="005D6ED8"/>
    <w:rsid w:val="006B648E"/>
    <w:rsid w:val="00771047"/>
    <w:rsid w:val="008A145C"/>
    <w:rsid w:val="00A612F3"/>
    <w:rsid w:val="00AB014F"/>
    <w:rsid w:val="00AF4133"/>
    <w:rsid w:val="00B47887"/>
    <w:rsid w:val="00C15216"/>
    <w:rsid w:val="00CC1267"/>
    <w:rsid w:val="00DA1F2E"/>
    <w:rsid w:val="00DB047F"/>
    <w:rsid w:val="00E03780"/>
    <w:rsid w:val="00E216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F0E8"/>
  <w15:chartTrackingRefBased/>
  <w15:docId w15:val="{E685BA5B-3EF0-394A-9712-1B8E4BB2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8A145C"/>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A145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8A145C"/>
    <w:pPr>
      <w:spacing w:after="200"/>
    </w:pPr>
    <w:rPr>
      <w:i/>
      <w:iCs/>
      <w:color w:val="44546A" w:themeColor="text2"/>
      <w:sz w:val="18"/>
      <w:szCs w:val="18"/>
      <w:lang w:val="fi-FI"/>
    </w:rPr>
  </w:style>
  <w:style w:type="paragraph" w:styleId="Seliteteksti">
    <w:name w:val="Balloon Text"/>
    <w:basedOn w:val="Normaali"/>
    <w:link w:val="SelitetekstiChar"/>
    <w:uiPriority w:val="99"/>
    <w:semiHidden/>
    <w:unhideWhenUsed/>
    <w:rsid w:val="003B0034"/>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3B0034"/>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2A09-F00C-364A-8E6D-1A328D7A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4025</Words>
  <Characters>32603</Characters>
  <Application>Microsoft Office Word</Application>
  <DocSecurity>0</DocSecurity>
  <Lines>271</Lines>
  <Paragraphs>73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Jaakko Tyrmi</dc:creator>
  <cp:keywords/>
  <dc:description/>
  <cp:lastModifiedBy>Jaakko Tyrmi</cp:lastModifiedBy>
  <cp:revision>5</cp:revision>
  <dcterms:created xsi:type="dcterms:W3CDTF">2019-10-03T19:32:00Z</dcterms:created>
  <dcterms:modified xsi:type="dcterms:W3CDTF">2020-02-24T13:36:00Z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http://www.zotero.org/styles/bioinformatics</vt:lpwstr>
  </property>
  <property fmtid="{D5CDD505-2E9C-101B-9397-08002B2CF9AE}" pid="5" name="Mendeley Recent Style Name 1_1">
    <vt:lpwstr>Bioinformatics</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http://www.zotero.org/styles/g3</vt:lpwstr>
  </property>
  <property fmtid="{D5CDD505-2E9C-101B-9397-08002B2CF9AE}" pid="11" name="Mendeley Recent Style Name 4_1">
    <vt:lpwstr>G3: Genes, Genomes, Genetics</vt:lpwstr>
  </property>
  <property fmtid="{D5CDD505-2E9C-101B-9397-08002B2CF9AE}" pid="12" name="Mendeley Recent Style Id 5_1">
    <vt:lpwstr>http://www.zotero.org/styles/genetics-and-molecular-biology</vt:lpwstr>
  </property>
  <property fmtid="{D5CDD505-2E9C-101B-9397-08002B2CF9AE}" pid="13" name="Mendeley Recent Style Name 5_1">
    <vt:lpwstr>Genetics and Molecular Biology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http://www.zotero.org/styles/molecular-ecology</vt:lpwstr>
  </property>
  <property fmtid="{D5CDD505-2E9C-101B-9397-08002B2CF9AE}" pid="21" name="Mendeley Recent Style Name 9_1">
    <vt:lpwstr>Molecular Ecology</vt:lpwstr>
  </property>
  <property fmtid="{D5CDD505-2E9C-101B-9397-08002B2CF9AE}" pid="22" name="Mendeley Document_1">
    <vt:lpwstr>True</vt:lpwstr>
  </property>
  <property fmtid="{D5CDD505-2E9C-101B-9397-08002B2CF9AE}" pid="23" name="Mendeley Unique User Id_1">
    <vt:lpwstr>dad62054-92ca-3839-a8ea-587a912d22e6</vt:lpwstr>
  </property>
  <property fmtid="{D5CDD505-2E9C-101B-9397-08002B2CF9AE}" pid="24" name="Mendeley Citation Style_1">
    <vt:lpwstr>http://www.zotero.org/styles/molecular-ecology</vt:lpwstr>
  </property>
</Properties>
</file>