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46725" w14:textId="77777777" w:rsidR="004A48FF" w:rsidRDefault="004A48FF" w:rsidP="004A48FF">
      <w:pPr>
        <w:pStyle w:val="Caption"/>
        <w:spacing w:after="0"/>
        <w:rPr>
          <w:rFonts w:ascii="Helvetica" w:hAnsi="Helvetica"/>
          <w:b/>
          <w:i w:val="0"/>
          <w:color w:val="auto"/>
          <w:sz w:val="20"/>
          <w:szCs w:val="20"/>
        </w:rPr>
      </w:pPr>
      <w:r>
        <w:rPr>
          <w:rFonts w:ascii="Helvetica" w:hAnsi="Helvetica"/>
          <w:b/>
          <w:i w:val="0"/>
          <w:noProof/>
          <w:color w:val="auto"/>
          <w:sz w:val="20"/>
          <w:szCs w:val="20"/>
        </w:rPr>
        <w:drawing>
          <wp:inline distT="0" distB="0" distL="0" distR="0" wp14:anchorId="0B2EA9BE" wp14:editId="1A890F17">
            <wp:extent cx="5943600" cy="2192655"/>
            <wp:effectExtent l="0" t="0" r="0" b="0"/>
            <wp:docPr id="1" name="Picture 1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_S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CD7BE" w14:textId="77777777" w:rsidR="004A48FF" w:rsidRDefault="004A48FF" w:rsidP="004A48FF">
      <w:pPr>
        <w:pStyle w:val="Caption"/>
        <w:spacing w:after="0"/>
        <w:rPr>
          <w:rFonts w:ascii="Helvetica" w:hAnsi="Helvetica"/>
          <w:b/>
          <w:i w:val="0"/>
          <w:color w:val="auto"/>
          <w:sz w:val="20"/>
          <w:szCs w:val="20"/>
        </w:rPr>
      </w:pPr>
    </w:p>
    <w:p w14:paraId="0B055632" w14:textId="1210A4C4" w:rsidR="004A48FF" w:rsidRPr="004A48FF" w:rsidRDefault="004A48FF" w:rsidP="004A48FF">
      <w:pPr>
        <w:pStyle w:val="Caption"/>
        <w:spacing w:after="0"/>
        <w:rPr>
          <w:rFonts w:ascii="Helvetica" w:hAnsi="Helvetica"/>
          <w:color w:val="auto"/>
          <w:sz w:val="20"/>
          <w:szCs w:val="20"/>
        </w:rPr>
      </w:pPr>
      <w:r w:rsidRPr="004A48FF">
        <w:rPr>
          <w:rFonts w:ascii="Helvetica" w:hAnsi="Helvetica"/>
          <w:b/>
          <w:i w:val="0"/>
          <w:color w:val="auto"/>
          <w:sz w:val="20"/>
          <w:szCs w:val="20"/>
        </w:rPr>
        <w:t xml:space="preserve">Figure S2. </w:t>
      </w:r>
      <w:r w:rsidRPr="004A48FF">
        <w:rPr>
          <w:rFonts w:ascii="Helvetica" w:hAnsi="Helvetica"/>
          <w:i w:val="0"/>
          <w:color w:val="auto"/>
          <w:sz w:val="20"/>
          <w:szCs w:val="20"/>
        </w:rPr>
        <w:t>Unsupervised dendrogram clustering of biological replicates based on normalized gene expression levels (RPKM). Control (green, C1 – C3), live manipulation (blue, L1 – L5), and dead manipulated (orange, D1 – D5) samples largely cluster into their defined biological groups.</w:t>
      </w:r>
      <w:r w:rsidRPr="004A48FF">
        <w:rPr>
          <w:rFonts w:ascii="Helvetica" w:hAnsi="Helvetica"/>
          <w:i w:val="0"/>
          <w:iCs w:val="0"/>
          <w:color w:val="auto"/>
          <w:sz w:val="20"/>
          <w:szCs w:val="20"/>
        </w:rPr>
        <w:t xml:space="preserve"> (A.) </w:t>
      </w:r>
      <w:r w:rsidR="00BE067A" w:rsidRPr="004A48FF">
        <w:rPr>
          <w:rFonts w:ascii="Helvetica" w:hAnsi="Helvetica"/>
          <w:i w:val="0"/>
          <w:color w:val="auto"/>
          <w:sz w:val="20"/>
          <w:szCs w:val="20"/>
        </w:rPr>
        <w:t>Den</w:t>
      </w:r>
      <w:r w:rsidR="00BE067A" w:rsidRPr="004A48FF">
        <w:rPr>
          <w:rFonts w:ascii="Helvetica" w:hAnsi="Helvetica"/>
          <w:i w:val="0"/>
          <w:iCs w:val="0"/>
          <w:color w:val="auto"/>
          <w:sz w:val="20"/>
          <w:szCs w:val="20"/>
        </w:rPr>
        <w:t>drogram of</w:t>
      </w:r>
      <w:r w:rsidR="00BE067A" w:rsidRPr="004A48FF">
        <w:rPr>
          <w:rFonts w:ascii="Helvetica" w:hAnsi="Helvetica"/>
          <w:color w:val="auto"/>
          <w:sz w:val="20"/>
          <w:szCs w:val="20"/>
        </w:rPr>
        <w:t xml:space="preserve"> O. camponoti-floridani</w:t>
      </w:r>
      <w:r w:rsidR="00BE067A" w:rsidRPr="004A48FF">
        <w:rPr>
          <w:rFonts w:ascii="Helvetica" w:hAnsi="Helvetica"/>
          <w:i w:val="0"/>
          <w:color w:val="auto"/>
          <w:sz w:val="20"/>
          <w:szCs w:val="20"/>
        </w:rPr>
        <w:t xml:space="preserve"> transcriptome data. The clustering of replicates indicates that fungi that actively interact with their host have more similar gene expression profiles to each other than to fungal growth under pre-infection conditions.</w:t>
      </w:r>
      <w:r w:rsidR="00BE067A" w:rsidRPr="004A48FF">
        <w:rPr>
          <w:rFonts w:ascii="Helvetica" w:hAnsi="Helvetica"/>
          <w:i w:val="0"/>
          <w:color w:val="auto"/>
          <w:sz w:val="20"/>
          <w:szCs w:val="20"/>
        </w:rPr>
        <w:t xml:space="preserve"> </w:t>
      </w:r>
      <w:r w:rsidRPr="004A48FF">
        <w:rPr>
          <w:rFonts w:ascii="Helvetica" w:hAnsi="Helvetica"/>
          <w:i w:val="0"/>
          <w:color w:val="auto"/>
          <w:sz w:val="20"/>
          <w:szCs w:val="20"/>
        </w:rPr>
        <w:t xml:space="preserve">(B.) </w:t>
      </w:r>
      <w:r w:rsidR="00BE067A" w:rsidRPr="004A48FF">
        <w:rPr>
          <w:rFonts w:ascii="Helvetica" w:hAnsi="Helvetica"/>
          <w:i w:val="0"/>
          <w:iCs w:val="0"/>
          <w:color w:val="auto"/>
          <w:sz w:val="20"/>
          <w:szCs w:val="20"/>
        </w:rPr>
        <w:t>Dendrogram</w:t>
      </w:r>
      <w:r w:rsidR="00BE067A" w:rsidRPr="004A48FF">
        <w:rPr>
          <w:rFonts w:ascii="Helvetica" w:hAnsi="Helvetica"/>
          <w:color w:val="auto"/>
          <w:sz w:val="20"/>
          <w:szCs w:val="20"/>
        </w:rPr>
        <w:t xml:space="preserve"> </w:t>
      </w:r>
      <w:r w:rsidR="00BE067A" w:rsidRPr="004A48FF">
        <w:rPr>
          <w:rFonts w:ascii="Helvetica" w:hAnsi="Helvetica"/>
          <w:i w:val="0"/>
          <w:iCs w:val="0"/>
          <w:color w:val="auto"/>
          <w:sz w:val="20"/>
          <w:szCs w:val="20"/>
        </w:rPr>
        <w:t>of</w:t>
      </w:r>
      <w:r w:rsidR="00BE067A" w:rsidRPr="004A48FF">
        <w:rPr>
          <w:rFonts w:ascii="Helvetica" w:hAnsi="Helvetica"/>
          <w:i w:val="0"/>
          <w:color w:val="auto"/>
          <w:sz w:val="20"/>
          <w:szCs w:val="20"/>
        </w:rPr>
        <w:t xml:space="preserve"> </w:t>
      </w:r>
      <w:r w:rsidR="00BE067A" w:rsidRPr="004A48FF">
        <w:rPr>
          <w:rFonts w:ascii="Helvetica" w:hAnsi="Helvetica"/>
          <w:color w:val="auto"/>
          <w:sz w:val="20"/>
          <w:szCs w:val="20"/>
        </w:rPr>
        <w:t xml:space="preserve">C. floridanus </w:t>
      </w:r>
      <w:r w:rsidR="00BE067A" w:rsidRPr="004A48FF">
        <w:rPr>
          <w:rFonts w:ascii="Helvetica" w:hAnsi="Helvetica"/>
          <w:i w:val="0"/>
          <w:color w:val="auto"/>
          <w:sz w:val="20"/>
          <w:szCs w:val="20"/>
        </w:rPr>
        <w:t xml:space="preserve">transcriptome data. The clustering of replicates indicates that living ants, whether healthy or manipulated, are more </w:t>
      </w:r>
      <w:proofErr w:type="gramStart"/>
      <w:r w:rsidR="00BE067A" w:rsidRPr="004A48FF">
        <w:rPr>
          <w:rFonts w:ascii="Helvetica" w:hAnsi="Helvetica"/>
          <w:i w:val="0"/>
          <w:color w:val="auto"/>
          <w:sz w:val="20"/>
          <w:szCs w:val="20"/>
        </w:rPr>
        <w:t>similar to</w:t>
      </w:r>
      <w:proofErr w:type="gramEnd"/>
      <w:r w:rsidR="00BE067A" w:rsidRPr="004A48FF">
        <w:rPr>
          <w:rFonts w:ascii="Helvetica" w:hAnsi="Helvetica"/>
          <w:i w:val="0"/>
          <w:color w:val="auto"/>
          <w:sz w:val="20"/>
          <w:szCs w:val="20"/>
        </w:rPr>
        <w:t xml:space="preserve"> each other than to recently expired ants after manipulation.</w:t>
      </w:r>
      <w:bookmarkStart w:id="0" w:name="_GoBack"/>
      <w:bookmarkEnd w:id="0"/>
    </w:p>
    <w:p w14:paraId="3581F330" w14:textId="77777777" w:rsidR="003A0FB8" w:rsidRDefault="00BE067A"/>
    <w:sectPr w:rsidR="003A0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FF"/>
    <w:rsid w:val="00100D39"/>
    <w:rsid w:val="001F6C92"/>
    <w:rsid w:val="004A48FF"/>
    <w:rsid w:val="00BE067A"/>
    <w:rsid w:val="00C51E51"/>
    <w:rsid w:val="00ED3E9F"/>
    <w:rsid w:val="00FC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65CE"/>
  <w15:chartTrackingRefBased/>
  <w15:docId w15:val="{A6D6CF41-5B9C-4642-9ED9-CFDF5BDB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A48FF"/>
    <w:pPr>
      <w:spacing w:after="200" w:line="240" w:lineRule="auto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4AC995E12C049A50ADA15ED46708B" ma:contentTypeVersion="13" ma:contentTypeDescription="Create a new document." ma:contentTypeScope="" ma:versionID="32d674a3480478f3b9cce55a5649e1ce">
  <xsd:schema xmlns:xsd="http://www.w3.org/2001/XMLSchema" xmlns:xs="http://www.w3.org/2001/XMLSchema" xmlns:p="http://schemas.microsoft.com/office/2006/metadata/properties" xmlns:ns3="dfe49bc2-e275-45b8-b1dd-d32901820c2b" xmlns:ns4="b06aa914-8065-4367-ab83-69b72e08d20f" targetNamespace="http://schemas.microsoft.com/office/2006/metadata/properties" ma:root="true" ma:fieldsID="d496bce262024e12e4210b1b6f356c9b" ns3:_="" ns4:_="">
    <xsd:import namespace="dfe49bc2-e275-45b8-b1dd-d32901820c2b"/>
    <xsd:import namespace="b06aa914-8065-4367-ab83-69b72e08d2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49bc2-e275-45b8-b1dd-d32901820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aa914-8065-4367-ab83-69b72e08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8E22DA-6E10-42E0-9CE4-3F91DF916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BBF5A6-E3C6-4E03-A4F6-C9EFBD6F5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B4A12-FC9F-4595-8D99-5919D04D4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49bc2-e275-45b8-b1dd-d32901820c2b"/>
    <ds:schemaRef ds:uri="b06aa914-8065-4367-ab83-69b72e08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</dc:creator>
  <cp:keywords/>
  <dc:description/>
  <cp:lastModifiedBy>Ian Will</cp:lastModifiedBy>
  <cp:revision>2</cp:revision>
  <dcterms:created xsi:type="dcterms:W3CDTF">2020-04-09T13:14:00Z</dcterms:created>
  <dcterms:modified xsi:type="dcterms:W3CDTF">2020-04-13T22:14:00Z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0x010100DEF4AC995E12C049A50ADA15ED46708B</vt:lpwstr>
  </property>
</Properties>
</file>