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C2FCD" w14:textId="270817B1" w:rsidR="00CB7FC6" w:rsidRPr="00CB7FC6" w:rsidRDefault="00CB7FC6" w:rsidP="00CB7FC6">
      <w:pPr>
        <w:pStyle w:val="Caption"/>
        <w:keepNext/>
        <w:spacing w:after="0"/>
        <w:rPr>
          <w:rFonts w:ascii="Helvetica" w:hAnsi="Helvetica" w:cstheme="minorHAnsi"/>
          <w:b/>
          <w:i w:val="0"/>
          <w:iCs w:val="0"/>
          <w:color w:val="auto"/>
          <w:sz w:val="20"/>
          <w:szCs w:val="20"/>
        </w:rPr>
      </w:pPr>
      <w:r w:rsidRPr="00CB7FC6">
        <w:rPr>
          <w:rFonts w:ascii="Helvetica" w:hAnsi="Helvetica"/>
          <w:b/>
          <w:i w:val="0"/>
          <w:color w:val="auto"/>
          <w:sz w:val="20"/>
          <w:szCs w:val="20"/>
        </w:rPr>
        <w:t>Table S2.</w:t>
      </w:r>
      <w:r w:rsidRPr="00CB7FC6">
        <w:rPr>
          <w:rFonts w:ascii="Helvetica" w:hAnsi="Helvetica"/>
          <w:b/>
          <w:color w:val="auto"/>
          <w:sz w:val="20"/>
          <w:szCs w:val="20"/>
        </w:rPr>
        <w:t xml:space="preserve"> </w:t>
      </w:r>
      <w:r w:rsidRPr="00CB7FC6">
        <w:rPr>
          <w:rFonts w:ascii="Helvetica" w:hAnsi="Helvetica"/>
          <w:b/>
          <w:i w:val="0"/>
          <w:iCs w:val="0"/>
          <w:color w:val="auto"/>
          <w:sz w:val="20"/>
          <w:szCs w:val="20"/>
        </w:rPr>
        <w:t>Ant PC2 top 20</w:t>
      </w:r>
      <w:r>
        <w:rPr>
          <w:rFonts w:ascii="Helvetica" w:hAnsi="Helvetica"/>
          <w:b/>
          <w:i w:val="0"/>
          <w:iCs w:val="0"/>
          <w:color w:val="auto"/>
          <w:sz w:val="20"/>
          <w:szCs w:val="20"/>
        </w:rPr>
        <w:t xml:space="preserve"> genes, ranked by loading value in descending order (</w:t>
      </w:r>
      <w:r w:rsidRPr="00CB7FC6">
        <w:rPr>
          <w:rFonts w:ascii="Helvetica" w:hAnsi="Helvetica"/>
          <w:b/>
          <w:i w:val="0"/>
          <w:iCs w:val="0"/>
          <w:color w:val="auto"/>
          <w:sz w:val="20"/>
          <w:szCs w:val="20"/>
        </w:rPr>
        <w:t>0.098 - 0.054</w:t>
      </w:r>
      <w:r>
        <w:rPr>
          <w:rFonts w:ascii="Helvetica" w:hAnsi="Helvetica"/>
          <w:b/>
          <w:i w:val="0"/>
          <w:iCs w:val="0"/>
          <w:color w:val="auto"/>
          <w:sz w:val="20"/>
          <w:szCs w:val="20"/>
        </w:rPr>
        <w:t>)</w:t>
      </w:r>
      <w:r w:rsidRPr="00CB7FC6">
        <w:rPr>
          <w:rFonts w:ascii="Helvetica" w:hAnsi="Helvetica"/>
          <w:b/>
          <w:i w:val="0"/>
          <w:iCs w:val="0"/>
          <w:color w:val="auto"/>
          <w:sz w:val="20"/>
          <w:szCs w:val="20"/>
        </w:rPr>
        <w:t xml:space="preserve">. </w:t>
      </w:r>
      <w:r w:rsidRPr="00CB7FC6">
        <w:rPr>
          <w:rFonts w:ascii="Helvetica" w:hAnsi="Helvetica" w:cstheme="minorHAnsi"/>
          <w:b/>
          <w:i w:val="0"/>
          <w:iCs w:val="0"/>
          <w:color w:val="auto"/>
          <w:sz w:val="20"/>
          <w:szCs w:val="20"/>
        </w:rPr>
        <w:t xml:space="preserve">Column “Homolog” refers to presence of a homolog between the current </w:t>
      </w:r>
      <w:r w:rsidRPr="00CB7FC6">
        <w:rPr>
          <w:rFonts w:ascii="Helvetica" w:hAnsi="Helvetica" w:cstheme="minorHAnsi"/>
          <w:b/>
          <w:iCs w:val="0"/>
          <w:color w:val="auto"/>
          <w:sz w:val="20"/>
          <w:szCs w:val="20"/>
        </w:rPr>
        <w:t>C. floridanus</w:t>
      </w:r>
      <w:r w:rsidRPr="00CB7FC6">
        <w:rPr>
          <w:rFonts w:ascii="Helvetica" w:hAnsi="Helvetica" w:cstheme="minorHAnsi"/>
          <w:b/>
          <w:i w:val="0"/>
          <w:iCs w:val="0"/>
          <w:color w:val="auto"/>
          <w:sz w:val="20"/>
          <w:szCs w:val="20"/>
        </w:rPr>
        <w:t xml:space="preserve"> assembly and proteins annotated in </w:t>
      </w:r>
      <w:r w:rsidRPr="00CB7FC6">
        <w:rPr>
          <w:rFonts w:ascii="Helvetica" w:hAnsi="Helvetica" w:cstheme="minorHAnsi"/>
          <w:b/>
          <w:i w:val="0"/>
          <w:iCs w:val="0"/>
          <w:color w:val="auto"/>
          <w:sz w:val="20"/>
          <w:szCs w:val="20"/>
        </w:rPr>
        <w:fldChar w:fldCharType="begin" w:fldLock="1"/>
      </w:r>
      <w:r>
        <w:rPr>
          <w:rFonts w:ascii="Helvetica" w:hAnsi="Helvetica" w:cstheme="minorHAnsi"/>
          <w:b/>
          <w:i w:val="0"/>
          <w:iCs w:val="0"/>
          <w:color w:val="auto"/>
          <w:sz w:val="20"/>
          <w:szCs w:val="20"/>
        </w:rPr>
        <w:instrText>ADDIN CSL_CITATION {"citationItems":[{"id":"ITEM-1","itemData":{"DOI":"10.1186/s12864-015-1812-x","ISBN":"10.1186/s12864-015-1812-x","ISSN":"14712164","PMID":"26285697","abstract":"BACKGROUND: Adaptive manipulation of animal behavior by parasites functions to increase parasite transmission through changes in host behavior. These changes can range from slight alterations in existing behaviors of the host to the establishment of wholly novel behaviors. The biting behavior observed in Carpenter ants infected by the specialized fungus Ophiocordyceps unilateralis s.l. is an example of the latter. Though parasitic manipulation of host behavior is generally assumed to be due to the parasite's gene expression, few studies have set out to test this. RESULTS: We experimentally infected Carpenter ants to collect tissue from both parasite and host during the time period when manipulated biting behavior is experienced. Upon observation of synchronized biting, samples were collected and subjected to mixed RNA-Seq analysis. We also sequenced and annotated the O. unilateralis s.l. genome as a reference for the fungal sequencing reads. CONCLUSIONS: Our mixed transcriptomics approach, together with a comparative genomics study, shows that the majority of the fungal genes that are up-regulated during manipulated biting behavior are unique to the O. unilateralis s.l. genome. This study furthermore reveals that the fungal parasite might be regulating immune- and neuronal stress responses in the host during manipulated biting, as well as impairing its chemosensory communication and causing apoptosis. Moreover, we found genes up-regulated during manipulation that putatively encode for proteins with reported effects on behavioral outputs, proteins involved in various neuropathologies and proteins involved in the biosynthesis of secondary metabolites such as alkaloids.","author":[{"dropping-particle":"","family":"Bekker","given":"Charissa","non-dropping-particle":"de","parse-names":false,"suffix":""},{"dropping-particle":"","family":"Ohm","given":"Robin A.","non-dropping-particle":"","parse-names":false,"suffix":""},{"dropping-particle":"","family":"Loreto","given":"Raquel G.","non-dropping-particle":"","parse-names":false,"suffix":""},{"dropping-particle":"","family":"Sebastian","given":"Aswathy","non-dropping-particle":"","parse-names":false,"suffix":""},{"dropping-particle":"","family":"Albert","given":"Istvan","non-dropping-particle":"","parse-names":false,"suffix":""},{"dropping-particle":"","family":"Merrow","given":"Martha","non-dropping-particle":"","parse-names":false,"suffix":""},{"dropping-particle":"","family":"Brachmann","given":"Andreas","non-dropping-particle":"","parse-names":false,"suffix":""},{"dropping-particle":"","family":"Hughes","given":"David P.","non-dropping-particle":"","parse-names":false,"suffix":""}],"container-title":"BMC Genomics","id":"ITEM-1","issued":{"date-parts":[["2015","12","19"]]},"note":"From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P)\n\nSee Table 2. Tryptophan, PAX pathway, CYP, enterotoxin (see 2017), alkaloids, SSPs, NRPS, sphingosine (see 2014), polyketides, tyrosine phosphotase (PTP ~~&amp;gt;dopamine)\n\nMixed transcriptomics\n\nhouse ants in cycling LD and temp\n\nmornining synchronized biting, 9am bite bu 14:00 dead\n\ncomparison of Thai Brazil S. Carloina\n\nGO, PFAM, CEGMA, KEGG\n\nOld genome, &amp;quot;unqiues&amp;quot; maybe not so\n\nant worked mapped to C. floridanus\n\nD: preserve brain for manipulation, fits with 2017 SEM paper\n\nFrom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P)\n\nSee Table 2. Tryptophan, PAX pathway, CYP, enterotoxin (see 2017), alkaloids, SSPs, NRPS, sphingosine (see 2014), polyketides, tyrosine phosphotase (PTP ~~&amp;gt;dopamine)\n\nMixed transcriptomics\n\nhouse ants in cycling LD and temp\n\nmornining synchronized biting, 9am bite bu 14:00 dead\n\ncomparison of Thai Brazil S. Carloina\n\nGO, PFAM, CEGMA, KEGG\n\nOld genome, &amp;quot;unqiues&amp;quot; maybe not so\n\nant worked mapped to C. floridanus\n\nD: preserve brain for manipulation, fits with 2017 SEM paper\n\nFrom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P)\n\nSee Table 2. Tryptophan, PAX pathway, CYP, enterotoxin (see 2017), alkaloids, SSPs, NRPS, sphingosine (see 2014), polyketides, tyrosine phosphotase (PTP ~~&amp;gt;dopamine)\n\nMixed transcriptomics\n\nhouse ants in cycling LD and temp\n\nmornining synchronized biting, 9am bite bu 14:00 dead\n\ncomparison of Thai Brazil S. Carloina\n\nGO, PFAM, CEGMA, KEGG\n\nOld genome, &amp;quot;unqiues&amp;quot; maybe not so\n\nant worked mapped to C. floridanus\n\nD: preserve brain for manipulation, fits with 2017 SEM paper\n\nFrom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P)\n\nSee Table 2. Tryptophan, PAX pathway, CYP, enterotoxin (see 2017), alkaloids, SSPs, NRPS, sphingosine (see 2014), polyketides, tyrosine phosphotase (PTP ~~&amp;gt;dopamine)\n\nMixed transcriptomics\n\nhouse ants in cycling LD and temp\n\nmornining synchronized biting, 9am bite bu 14:00 dead\n\ncomparison of Thai Brazil S. Carloina\n\nGO, PFAM, CEGMA, KEGG\n\nOld genome, &amp;quot;unqiues&amp;quot; maybe not so\n\nant worked mapped to C. floridanus\n\nD: preserve brain for manipulation, fits with 2017 SEM paper\n\nFrom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P)\n\nSee Table 2. Tryptophan, PAX pathway, CYP, enterotoxin (see 2017), alkaloids, SSPs, NRPS, sphingosine (see 2014), polyketides, tyrosine phosphotase (PTP ~~&amp;gt;dopamine)\n\nMixed transcriptomics\n\nhouse ants in cycling LD and temp\n\nmornining synchronized biting, 9am bite bu 14:00 dead\n\ncomparison of Thai Brazil S. Carloina\n\nGO, PFAM, CEGMA, KEGG\n\nOld genome, &amp;quot;unqiues&amp;quot; maybe not so\n\nant worked mapped to C. floridanus\n\nD: preserve brain for manipulation, fits with 2017 SEM paper\n\nFrom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P)\n\nSee Table 2. Tryptophan, PAX pathway, CYP, enterotoxin (see 2017), alkaloids, SSPs, NRPS, sphingosine (see 2014), polyketides, tyrosine phosphotase (PTP ~~&amp;gt;dopamine)\n\nMixed transcriptomics\n\nhouse ants in cycling LD and temp\n\nmornining synchronized biting, 9am bite bu 14:00 dead\n\ncomparison of Thai Brazil S. Carloina\n\nGO, PFAM, CEGMA, KEGG\n\nOld genome, &amp;quot;unqiues&amp;quot; maybe not so\n\nant worked mapped to C. floridanus\n\nD: preserve brain for manipulation, fits with 2017 SEM paper\n\nFrom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P)\n\nSee Table 2. Tryptophan, PAX pathway, CYP, enterotoxin (see 2017), alkaloids, SSPs, NRPS, sphingosine (see 2014), polyketides, tyrosine phosphotase (PTP ~~&amp;gt;dopamine)\n\nMixed transcriptomics\n\nhouse ants in cycling LD and temp\n\nmornining synchronized biting, 9am bite bu 14:00 dead\n\ncomparison of Thai Brazil S. Carloina\n\nGO, PFAM, CEGMA, KEGG\n\nOld genome, &amp;quot;unqiues&amp;quot; maybe not so\n\nant worked mapped to C. floridanus\n\nD: preserve brain for manipulation, fits with 2017 SEM paper","page":"620","publisher":"BioMed Central","title":"Gene expression during zombie ant biting behavior reflects the complexity underlying fungal parasitic behavioral manipulation","type":"article-journal","volume":"16"},"uris":["http://www.mendeley.com/documents/?uuid=34026fd3-e8fb-40f5-a0b4-090b1c98950d"]}],"mendeley":{"formattedCitation":"(de Bekker &lt;i&gt;et al.&lt;/i&gt; 2015)","manualFormatting":"de Bekker et al. (2015)","plainTextFormattedCitation":"(de Bekker et al. 2015)","previouslyFormattedCitation":"(&lt;span style=\"font-variant:small-caps;\"&gt;de&lt;/span&gt; &lt;span style=\"font-variant:small-caps;\"&gt;Bekker&lt;/span&gt; &amp; al. 2015)"},"properties":{"noteIndex":0},"schema":"https://github.com/citation-style-language/schema/raw/master/csl-citation.json"}</w:instrText>
      </w:r>
      <w:r w:rsidRPr="00CB7FC6">
        <w:rPr>
          <w:rFonts w:ascii="Helvetica" w:hAnsi="Helvetica" w:cstheme="minorHAnsi"/>
          <w:b/>
          <w:i w:val="0"/>
          <w:iCs w:val="0"/>
          <w:color w:val="auto"/>
          <w:sz w:val="20"/>
          <w:szCs w:val="20"/>
        </w:rPr>
        <w:fldChar w:fldCharType="separate"/>
      </w:r>
      <w:r w:rsidRPr="00CB7FC6">
        <w:rPr>
          <w:rFonts w:ascii="Helvetica" w:hAnsi="Helvetica" w:cstheme="minorHAnsi"/>
          <w:b/>
          <w:i w:val="0"/>
          <w:iCs w:val="0"/>
          <w:noProof/>
          <w:color w:val="auto"/>
          <w:sz w:val="20"/>
          <w:szCs w:val="20"/>
        </w:rPr>
        <w:t>de Bekker et al. (2015)</w:t>
      </w:r>
      <w:r w:rsidRPr="00CB7FC6">
        <w:rPr>
          <w:rFonts w:ascii="Helvetica" w:hAnsi="Helvetica" w:cstheme="minorHAnsi"/>
          <w:b/>
          <w:i w:val="0"/>
          <w:iCs w:val="0"/>
          <w:color w:val="auto"/>
          <w:sz w:val="20"/>
          <w:szCs w:val="20"/>
        </w:rPr>
        <w:fldChar w:fldCharType="end"/>
      </w:r>
      <w:r w:rsidRPr="00CB7FC6">
        <w:rPr>
          <w:rFonts w:ascii="Helvetica" w:hAnsi="Helvetica" w:cstheme="minorHAnsi"/>
          <w:b/>
          <w:i w:val="0"/>
          <w:iCs w:val="0"/>
          <w:color w:val="auto"/>
          <w:sz w:val="20"/>
          <w:szCs w:val="20"/>
        </w:rPr>
        <w:t xml:space="preserve"> with corresponding </w:t>
      </w:r>
      <w:proofErr w:type="spellStart"/>
      <w:r w:rsidRPr="00CB7FC6">
        <w:rPr>
          <w:rFonts w:ascii="Helvetica" w:hAnsi="Helvetica" w:cstheme="minorHAnsi"/>
          <w:b/>
          <w:i w:val="0"/>
          <w:iCs w:val="0"/>
          <w:color w:val="auto"/>
          <w:sz w:val="20"/>
          <w:szCs w:val="20"/>
        </w:rPr>
        <w:t>RNAseq</w:t>
      </w:r>
      <w:proofErr w:type="spellEnd"/>
      <w:r w:rsidRPr="00CB7FC6">
        <w:rPr>
          <w:rFonts w:ascii="Helvetica" w:hAnsi="Helvetica" w:cstheme="minorHAnsi"/>
          <w:b/>
          <w:i w:val="0"/>
          <w:iCs w:val="0"/>
          <w:color w:val="auto"/>
          <w:sz w:val="20"/>
          <w:szCs w:val="20"/>
        </w:rPr>
        <w:t xml:space="preserve"> data displaying similar patterns to our study. Comments related to putative functions are from </w:t>
      </w:r>
      <w:proofErr w:type="spellStart"/>
      <w:r w:rsidRPr="00CB7FC6">
        <w:rPr>
          <w:rFonts w:ascii="Helvetica" w:hAnsi="Helvetica" w:cstheme="minorHAnsi"/>
          <w:b/>
          <w:i w:val="0"/>
          <w:iCs w:val="0"/>
          <w:color w:val="auto"/>
          <w:sz w:val="20"/>
          <w:szCs w:val="20"/>
        </w:rPr>
        <w:t>Uniprot</w:t>
      </w:r>
      <w:proofErr w:type="spellEnd"/>
      <w:r w:rsidRPr="00CB7FC6">
        <w:rPr>
          <w:rFonts w:ascii="Helvetica" w:hAnsi="Helvetica" w:cstheme="minorHAnsi"/>
          <w:b/>
          <w:i w:val="0"/>
          <w:iCs w:val="0"/>
          <w:color w:val="auto"/>
          <w:sz w:val="20"/>
          <w:szCs w:val="20"/>
        </w:rPr>
        <w:t xml:space="preserve"> </w:t>
      </w:r>
      <w:r w:rsidRPr="00CB7FC6">
        <w:rPr>
          <w:rFonts w:ascii="Helvetica" w:hAnsi="Helvetica" w:cstheme="minorHAnsi"/>
          <w:b/>
          <w:i w:val="0"/>
          <w:iCs w:val="0"/>
          <w:color w:val="auto"/>
          <w:sz w:val="20"/>
          <w:szCs w:val="20"/>
        </w:rPr>
        <w:fldChar w:fldCharType="begin" w:fldLock="1"/>
      </w:r>
      <w:r w:rsidRPr="00CB7FC6">
        <w:rPr>
          <w:rFonts w:ascii="Helvetica" w:hAnsi="Helvetica" w:cstheme="minorHAnsi"/>
          <w:b/>
          <w:i w:val="0"/>
          <w:iCs w:val="0"/>
          <w:color w:val="auto"/>
          <w:sz w:val="20"/>
          <w:szCs w:val="20"/>
        </w:rPr>
        <w:instrText>ADDIN CSL_CITATION {"citationItems":[{"id":"ITEM-1","itemData":{"DOI":"10.1093/nar/gky1049","ISSN":"0305-1048","author":[{"dropping-particle":"","family":"Bateman","given":"Alex","non-dropping-particle":"","parse-names":false,"suffix":""}],"container-title":"Nucleic Acids Research","id":"ITEM-1","issue":"D1","issued":{"date-parts":[["2019","1","8"]]},"page":"D506-D515","publisher":"Narnia","title":"UniProt: a worldwide hub of protein knowledge","type":"article-journal","volume":"47"},"uris":["http://www.mendeley.com/documents/?uuid=8e0882d7-2bd4-372b-8742-7159cdd45397"]}],"mendeley":{"formattedCitation":"(Bateman 2019)","plainTextFormattedCitation":"(Bateman 2019)","previouslyFormattedCitation":"(&lt;span style=\"font-variant:small-caps;\"&gt;Bateman&lt;/span&gt; 2019)"},"properties":{"noteIndex":0},"schema":"https://github.com/citation-style-language/schema/raw/master/csl-citation.json"}</w:instrText>
      </w:r>
      <w:r w:rsidRPr="00CB7FC6">
        <w:rPr>
          <w:rFonts w:ascii="Helvetica" w:hAnsi="Helvetica" w:cstheme="minorHAnsi"/>
          <w:b/>
          <w:i w:val="0"/>
          <w:iCs w:val="0"/>
          <w:color w:val="auto"/>
          <w:sz w:val="20"/>
          <w:szCs w:val="20"/>
        </w:rPr>
        <w:fldChar w:fldCharType="separate"/>
      </w:r>
      <w:r w:rsidRPr="00CB7FC6">
        <w:rPr>
          <w:rFonts w:ascii="Helvetica" w:hAnsi="Helvetica" w:cstheme="minorHAnsi"/>
          <w:b/>
          <w:i w:val="0"/>
          <w:iCs w:val="0"/>
          <w:noProof/>
          <w:color w:val="auto"/>
          <w:sz w:val="20"/>
          <w:szCs w:val="20"/>
        </w:rPr>
        <w:t>(Bateman 2019)</w:t>
      </w:r>
      <w:r w:rsidRPr="00CB7FC6">
        <w:rPr>
          <w:rFonts w:ascii="Helvetica" w:hAnsi="Helvetica" w:cstheme="minorHAnsi"/>
          <w:b/>
          <w:i w:val="0"/>
          <w:iCs w:val="0"/>
          <w:color w:val="auto"/>
          <w:sz w:val="20"/>
          <w:szCs w:val="20"/>
        </w:rPr>
        <w:fldChar w:fldCharType="end"/>
      </w:r>
      <w:r w:rsidRPr="00CB7FC6">
        <w:rPr>
          <w:rFonts w:ascii="Helvetica" w:hAnsi="Helvetica" w:cstheme="minorHAnsi"/>
          <w:b/>
          <w:i w:val="0"/>
          <w:iCs w:val="0"/>
          <w:color w:val="auto"/>
          <w:sz w:val="20"/>
          <w:szCs w:val="20"/>
        </w:rPr>
        <w:t xml:space="preserve"> and </w:t>
      </w:r>
      <w:proofErr w:type="spellStart"/>
      <w:r w:rsidRPr="00CB7FC6">
        <w:rPr>
          <w:rFonts w:ascii="Helvetica" w:hAnsi="Helvetica" w:cstheme="minorHAnsi"/>
          <w:b/>
          <w:i w:val="0"/>
          <w:iCs w:val="0"/>
          <w:color w:val="auto"/>
          <w:sz w:val="20"/>
          <w:szCs w:val="20"/>
        </w:rPr>
        <w:t>Interpro</w:t>
      </w:r>
      <w:proofErr w:type="spellEnd"/>
      <w:r w:rsidRPr="00CB7FC6">
        <w:rPr>
          <w:rFonts w:ascii="Helvetica" w:hAnsi="Helvetica" w:cstheme="minorHAnsi"/>
          <w:b/>
          <w:i w:val="0"/>
          <w:iCs w:val="0"/>
          <w:color w:val="auto"/>
          <w:sz w:val="20"/>
          <w:szCs w:val="20"/>
        </w:rPr>
        <w:t xml:space="preserve"> </w:t>
      </w:r>
      <w:r w:rsidRPr="00CB7FC6">
        <w:rPr>
          <w:rFonts w:ascii="Helvetica" w:hAnsi="Helvetica" w:cstheme="minorHAnsi"/>
          <w:b/>
          <w:i w:val="0"/>
          <w:iCs w:val="0"/>
          <w:color w:val="auto"/>
          <w:sz w:val="20"/>
          <w:szCs w:val="20"/>
        </w:rPr>
        <w:fldChar w:fldCharType="begin" w:fldLock="1"/>
      </w:r>
      <w:r w:rsidRPr="00CB7FC6">
        <w:rPr>
          <w:rFonts w:ascii="Helvetica" w:hAnsi="Helvetica" w:cstheme="minorHAnsi"/>
          <w:b/>
          <w:i w:val="0"/>
          <w:iCs w:val="0"/>
          <w:color w:val="auto"/>
          <w:sz w:val="20"/>
          <w:szCs w:val="20"/>
        </w:rPr>
        <w:instrText>ADDIN CSL_CITATION {"citationItems":[{"id":"ITEM-1","itemData":{"DOI":"10.1093/nar/gkw1107","ISSN":"1362-4962","PMID":"27899635","abstract":"InterPro (http://www.ebi.ac.uk/interpro/) is a freely available database used to classify protein sequences into families and to predict the presence of important domains and sites. InterProScan is the underlying software that allows both protein and nucleic acid sequences to be searched against InterPro's predictive models, which are provided by its member databases. Here, we report recent developments with InterPro and its associated software, including the addition of two new databases (SFLD and CDD), and the functionality to include residue-level annotation and prediction of intrinsic disorder. These developments enrich the annotations provided by InterPro, increase the overall number of residues annotated and allow more specific functional inferences.","author":[{"dropping-particle":"","family":"Finn","given":"Robert D","non-dropping-particle":"","parse-names":false,"suffix":""},{"dropping-particle":"","family":"Attwood","given":"Teresa K","non-dropping-particle":"","parse-names":false,"suffix":""},{"dropping-particle":"","family":"Babbitt","given":"Patricia C","non-dropping-particle":"","parse-names":false,"suffix":""},{"dropping-particle":"","family":"Bateman","given":"Alex","non-dropping-particle":"","parse-names":false,"suffix":""},{"dropping-particle":"","family":"Bork","given":"Peer","non-dropping-particle":"","parse-names":false,"suffix":""},{"dropping-particle":"","family":"Bridge","given":"Alan J","non-dropping-particle":"","parse-names":false,"suffix":""},{"dropping-particle":"","family":"Chang","given":"Hsin-Yu","non-dropping-particle":"","parse-names":false,"suffix":""},{"dropping-particle":"","family":"Dosztányi","given":"Zsuzsanna","non-dropping-particle":"","parse-names":false,"suffix":""},{"dropping-particle":"","family":"El-Gebali","given":"Sara","non-dropping-particle":"","parse-names":false,"suffix":""},{"dropping-particle":"","family":"Fraser","given":"Matthew","non-dropping-particle":"","parse-names":false,"suffix":""},{"dropping-particle":"","family":"Gough","given":"Julian","non-dropping-particle":"","parse-names":false,"suffix":""},{"dropping-particle":"","family":"Haft","given":"David","non-dropping-particle":"","parse-names":false,"suffix":""},{"dropping-particle":"","family":"Holliday","given":"Gemma L","non-dropping-particle":"","parse-names":false,"suffix":""},{"dropping-particle":"","family":"Huang","given":"Hongzhan","non-dropping-particle":"","parse-names":false,"suffix":""},{"dropping-particle":"","family":"Huang","given":"Xiaosong","non-dropping-particle":"","parse-names":false,"suffix":""},{"dropping-particle":"","family":"Letunic","given":"Ivica","non-dropping-particle":"","parse-names":false,"suffix":""},{"dropping-particle":"","family":"Lopez","given":"Rodrigo","non-dropping-particle":"","parse-names":false,"suffix":""},{"dropping-particle":"","family":"Lu","given":"Shennan","non-dropping-particle":"","parse-names":false,"suffix":""},{"dropping-particle":"","family":"Marchler-Bauer","given":"Aron","non-dropping-particle":"","parse-names":false,"suffix":""},{"dropping-particle":"","family":"Mi","given":"Huaiyu","non-dropping-particle":"","parse-names":false,"suffix":""},{"dropping-particle":"","family":"Mistry","given":"Jaina","non-dropping-particle":"","parse-names":false,"suffix":""},{"dropping-particle":"","family":"Natale","given":"Darren A","non-dropping-particle":"","parse-names":false,"suffix":""},{"dropping-particle":"","family":"Necci","given":"Marco","non-dropping-particle":"","parse-names":false,"suffix":""},{"dropping-particle":"","family":"Nuka","given":"Gift","non-dropping-particle":"","parse-names":false,"suffix":""},{"dropping-particle":"","family":"Orengo","given":"Christine A","non-dropping-particle":"","parse-names":false,"suffix":""},{"dropping-particle":"","family":"Park","given":"Youngmi","non-dropping-particle":"","parse-names":false,"suffix":""},{"dropping-particle":"","family":"Pesseat","given":"Sebastien","non-dropping-particle":"","parse-names":false,"suffix":""},{"dropping-particle":"","family":"Piovesan","given":"Damiano","non-dropping-particle":"","parse-names":false,"suffix":""},{"dropping-particle":"","family":"Potter","given":"Simon C","non-dropping-particle":"","parse-names":false,"suffix":""},{"dropping-particle":"","family":"Rawlings","given":"Neil D","non-dropping-particle":"","parse-names":false,"suffix":""},{"dropping-particle":"","family":"Redaschi","given":"Nicole","non-dropping-particle":"","parse-names":false,"suffix":""},{"dropping-particle":"","family":"Richardson","given":"Lorna","non-dropping-particle":"","parse-names":false,"suffix":""},{"dropping-particle":"","family":"Rivoire","given":"Catherine","non-dropping-particle":"","parse-names":false,"suffix":""},{"dropping-particle":"","family":"Sangrador-Vegas","given":"Amaia","non-dropping-particle":"","parse-names":false,"suffix":""},{"dropping-particle":"","family":"Sigrist","given":"Christian","non-dropping-particle":"","parse-names":false,"suffix":""},{"dropping-particle":"","family":"Sillitoe","given":"Ian","non-dropping-particle":"","parse-names":false,"suffix":""},{"dropping-particle":"","family":"Smithers","given":"Ben","non-dropping-particle":"","parse-names":false,"suffix":""},{"dropping-particle":"","family":"Squizzato","given":"Silvano","non-dropping-particle":"","parse-names":false,"suffix":""},{"dropping-particle":"","family":"Sutton","given":"Granger","non-dropping-particle":"","parse-names":false,"suffix":""},{"dropping-particle":"","family":"Thanki","given":"Narmada","non-dropping-particle":"","parse-names":false,"suffix":""},{"dropping-particle":"","family":"Thomas","given":"Paul D","non-dropping-particle":"","parse-names":false,"suffix":""},{"dropping-particle":"","family":"Tosatto","given":"Silvio C E","non-dropping-particle":"","parse-names":false,"suffix":""},{"dropping-particle":"","family":"Wu","given":"Cathy H","non-dropping-particle":"","parse-names":false,"suffix":""},{"dropping-particle":"","family":"Xenarios","given":"Ioannis","non-dropping-particle":"","parse-names":false,"suffix":""},{"dropping-particle":"","family":"Yeh","given":"Lai-Su","non-dropping-particle":"","parse-names":false,"suffix":""},{"dropping-particle":"","family":"Young","given":"Siew-Yit","non-dropping-particle":"","parse-names":false,"suffix":""},{"dropping-particle":"","family":"Mitchell","given":"Alex L","non-dropping-particle":"","parse-names":false,"suffix":""}],"container-title":"Nucleic acids research","id":"ITEM-1","issue":"D1","issued":{"date-parts":[["2017"]]},"page":"D190-D199","publisher":"Oxford University Press","title":"InterPro in 2017––beyond protein family and domain annotations.","type":"article-journal","volume":"45"},"uris":["http://www.mendeley.com/documents/?uuid=cd8c6b8c-45b3-3e86-86ab-f1a0bb66ff5d"]}],"mendeley":{"formattedCitation":"(Finn &lt;i&gt;et al.&lt;/i&gt; 2017)","plainTextFormattedCitation":"(Finn et al. 2017)","previouslyFormattedCitation":"(&lt;span style=\"font-variant:small-caps;\"&gt;Finn&lt;/span&gt; &amp; al. 2017)"},"properties":{"noteIndex":0},"schema":"https://github.com/citation-style-language/schema/raw/master/csl-citation.json"}</w:instrText>
      </w:r>
      <w:r w:rsidRPr="00CB7FC6">
        <w:rPr>
          <w:rFonts w:ascii="Helvetica" w:hAnsi="Helvetica" w:cstheme="minorHAnsi"/>
          <w:b/>
          <w:i w:val="0"/>
          <w:iCs w:val="0"/>
          <w:color w:val="auto"/>
          <w:sz w:val="20"/>
          <w:szCs w:val="20"/>
        </w:rPr>
        <w:fldChar w:fldCharType="separate"/>
      </w:r>
      <w:r w:rsidRPr="00CB7FC6">
        <w:rPr>
          <w:rFonts w:ascii="Helvetica" w:hAnsi="Helvetica" w:cstheme="minorHAnsi"/>
          <w:b/>
          <w:i w:val="0"/>
          <w:iCs w:val="0"/>
          <w:noProof/>
          <w:color w:val="auto"/>
          <w:sz w:val="20"/>
          <w:szCs w:val="20"/>
        </w:rPr>
        <w:t xml:space="preserve">(Finn </w:t>
      </w:r>
      <w:r w:rsidRPr="00CB7FC6">
        <w:rPr>
          <w:rFonts w:ascii="Helvetica" w:hAnsi="Helvetica" w:cstheme="minorHAnsi"/>
          <w:b/>
          <w:iCs w:val="0"/>
          <w:noProof/>
          <w:color w:val="auto"/>
          <w:sz w:val="20"/>
          <w:szCs w:val="20"/>
        </w:rPr>
        <w:t>et al.</w:t>
      </w:r>
      <w:r w:rsidRPr="00CB7FC6">
        <w:rPr>
          <w:rFonts w:ascii="Helvetica" w:hAnsi="Helvetica" w:cstheme="minorHAnsi"/>
          <w:b/>
          <w:i w:val="0"/>
          <w:iCs w:val="0"/>
          <w:noProof/>
          <w:color w:val="auto"/>
          <w:sz w:val="20"/>
          <w:szCs w:val="20"/>
        </w:rPr>
        <w:t xml:space="preserve"> 2017)</w:t>
      </w:r>
      <w:r w:rsidRPr="00CB7FC6">
        <w:rPr>
          <w:rFonts w:ascii="Helvetica" w:hAnsi="Helvetica" w:cstheme="minorHAnsi"/>
          <w:b/>
          <w:i w:val="0"/>
          <w:iCs w:val="0"/>
          <w:color w:val="auto"/>
          <w:sz w:val="20"/>
          <w:szCs w:val="20"/>
        </w:rPr>
        <w:fldChar w:fldCharType="end"/>
      </w:r>
      <w:r w:rsidRPr="00CB7FC6">
        <w:rPr>
          <w:rFonts w:ascii="Helvetica" w:hAnsi="Helvetica" w:cstheme="minorHAnsi"/>
          <w:b/>
          <w:i w:val="0"/>
          <w:iCs w:val="0"/>
          <w:color w:val="auto"/>
          <w:sz w:val="20"/>
          <w:szCs w:val="20"/>
        </w:rPr>
        <w:t>.</w:t>
      </w:r>
      <w:bookmarkStart w:id="0" w:name="_GoBack"/>
      <w:bookmarkEnd w:id="0"/>
    </w:p>
    <w:p w14:paraId="3B513A80" w14:textId="77777777" w:rsidR="00CB7FC6" w:rsidRPr="00CB7FC6" w:rsidRDefault="00CB7FC6" w:rsidP="00CB7FC6"/>
    <w:tbl>
      <w:tblPr>
        <w:tblW w:w="5000" w:type="pct"/>
        <w:tblLayout w:type="fixed"/>
        <w:tblCellMar>
          <w:top w:w="43" w:type="dxa"/>
          <w:left w:w="115" w:type="dxa"/>
          <w:bottom w:w="115" w:type="dxa"/>
          <w:right w:w="115" w:type="dxa"/>
        </w:tblCellMar>
        <w:tblLook w:val="04A0" w:firstRow="1" w:lastRow="0" w:firstColumn="1" w:lastColumn="0" w:noHBand="0" w:noVBand="1"/>
      </w:tblPr>
      <w:tblGrid>
        <w:gridCol w:w="2523"/>
        <w:gridCol w:w="2606"/>
        <w:gridCol w:w="1260"/>
        <w:gridCol w:w="2971"/>
      </w:tblGrid>
      <w:tr w:rsidR="00CB7FC6" w:rsidRPr="00CB7FC6" w14:paraId="15F02D53" w14:textId="77777777" w:rsidTr="00CB7FC6">
        <w:trPr>
          <w:trHeight w:val="300"/>
        </w:trPr>
        <w:tc>
          <w:tcPr>
            <w:tcW w:w="1348" w:type="pct"/>
            <w:tcBorders>
              <w:top w:val="single" w:sz="4" w:space="0" w:color="auto"/>
              <w:left w:val="nil"/>
              <w:bottom w:val="single" w:sz="4" w:space="0" w:color="auto"/>
              <w:right w:val="nil"/>
            </w:tcBorders>
            <w:shd w:val="clear" w:color="auto" w:fill="auto"/>
            <w:noWrap/>
            <w:hideMark/>
          </w:tcPr>
          <w:p w14:paraId="1C5271FD" w14:textId="77777777" w:rsidR="00CB7FC6" w:rsidRPr="00CB7FC6" w:rsidRDefault="00CB7FC6" w:rsidP="00015BF8">
            <w:pPr>
              <w:rPr>
                <w:rFonts w:ascii="Helvetica" w:eastAsia="Times New Roman" w:hAnsi="Helvetica" w:cs="Times New Roman"/>
                <w:b/>
                <w:bCs/>
                <w:color w:val="000000"/>
                <w:sz w:val="20"/>
                <w:szCs w:val="20"/>
              </w:rPr>
            </w:pPr>
            <w:r w:rsidRPr="00CB7FC6">
              <w:rPr>
                <w:rFonts w:ascii="Helvetica" w:eastAsia="Times New Roman" w:hAnsi="Helvetica" w:cs="Times New Roman"/>
                <w:b/>
                <w:bCs/>
                <w:color w:val="000000"/>
                <w:sz w:val="20"/>
                <w:szCs w:val="20"/>
              </w:rPr>
              <w:t>BLAST</w:t>
            </w:r>
          </w:p>
        </w:tc>
        <w:tc>
          <w:tcPr>
            <w:tcW w:w="1392" w:type="pct"/>
            <w:tcBorders>
              <w:top w:val="single" w:sz="4" w:space="0" w:color="auto"/>
              <w:left w:val="nil"/>
              <w:bottom w:val="single" w:sz="4" w:space="0" w:color="auto"/>
              <w:right w:val="nil"/>
            </w:tcBorders>
            <w:shd w:val="clear" w:color="auto" w:fill="auto"/>
            <w:noWrap/>
            <w:hideMark/>
          </w:tcPr>
          <w:p w14:paraId="21EBB853" w14:textId="77777777" w:rsidR="00CB7FC6" w:rsidRPr="00CB7FC6" w:rsidRDefault="00CB7FC6" w:rsidP="00015BF8">
            <w:pPr>
              <w:rPr>
                <w:rFonts w:ascii="Helvetica" w:eastAsia="Times New Roman" w:hAnsi="Helvetica" w:cs="Times New Roman"/>
                <w:b/>
                <w:bCs/>
                <w:color w:val="000000"/>
                <w:sz w:val="20"/>
                <w:szCs w:val="20"/>
              </w:rPr>
            </w:pPr>
            <w:r w:rsidRPr="00CB7FC6">
              <w:rPr>
                <w:rFonts w:ascii="Helvetica" w:eastAsia="Times New Roman" w:hAnsi="Helvetica" w:cs="Times New Roman"/>
                <w:b/>
                <w:bCs/>
                <w:color w:val="000000"/>
                <w:sz w:val="20"/>
                <w:szCs w:val="20"/>
              </w:rPr>
              <w:t>PFAM</w:t>
            </w:r>
          </w:p>
        </w:tc>
        <w:tc>
          <w:tcPr>
            <w:tcW w:w="673" w:type="pct"/>
            <w:tcBorders>
              <w:top w:val="single" w:sz="4" w:space="0" w:color="auto"/>
              <w:left w:val="nil"/>
              <w:bottom w:val="single" w:sz="4" w:space="0" w:color="auto"/>
              <w:right w:val="nil"/>
            </w:tcBorders>
            <w:shd w:val="clear" w:color="auto" w:fill="auto"/>
            <w:noWrap/>
            <w:hideMark/>
          </w:tcPr>
          <w:p w14:paraId="6B0B1194" w14:textId="77777777" w:rsidR="00CB7FC6" w:rsidRPr="00CB7FC6" w:rsidRDefault="00CB7FC6" w:rsidP="00015BF8">
            <w:pPr>
              <w:rPr>
                <w:rFonts w:ascii="Helvetica" w:eastAsia="Times New Roman" w:hAnsi="Helvetica" w:cs="Times New Roman"/>
                <w:b/>
                <w:bCs/>
                <w:color w:val="000000"/>
                <w:sz w:val="20"/>
                <w:szCs w:val="20"/>
              </w:rPr>
            </w:pPr>
            <w:r w:rsidRPr="00CB7FC6">
              <w:rPr>
                <w:rFonts w:ascii="Helvetica" w:eastAsia="Times New Roman" w:hAnsi="Helvetica" w:cs="Times New Roman"/>
                <w:b/>
                <w:bCs/>
                <w:color w:val="000000"/>
                <w:sz w:val="20"/>
                <w:szCs w:val="20"/>
              </w:rPr>
              <w:t>Homolog</w:t>
            </w:r>
          </w:p>
        </w:tc>
        <w:tc>
          <w:tcPr>
            <w:tcW w:w="1587" w:type="pct"/>
            <w:tcBorders>
              <w:top w:val="single" w:sz="4" w:space="0" w:color="auto"/>
              <w:left w:val="nil"/>
              <w:bottom w:val="single" w:sz="4" w:space="0" w:color="auto"/>
              <w:right w:val="nil"/>
            </w:tcBorders>
            <w:shd w:val="clear" w:color="auto" w:fill="auto"/>
            <w:noWrap/>
            <w:hideMark/>
          </w:tcPr>
          <w:p w14:paraId="22AE5B45" w14:textId="77777777" w:rsidR="00CB7FC6" w:rsidRPr="00CB7FC6" w:rsidRDefault="00CB7FC6" w:rsidP="00015BF8">
            <w:pPr>
              <w:rPr>
                <w:rFonts w:ascii="Helvetica" w:eastAsia="Times New Roman" w:hAnsi="Helvetica" w:cs="Times New Roman"/>
                <w:b/>
                <w:bCs/>
                <w:color w:val="000000"/>
                <w:sz w:val="20"/>
                <w:szCs w:val="20"/>
              </w:rPr>
            </w:pPr>
            <w:r w:rsidRPr="00CB7FC6">
              <w:rPr>
                <w:rFonts w:ascii="Helvetica" w:eastAsia="Times New Roman" w:hAnsi="Helvetica" w:cs="Times New Roman"/>
                <w:b/>
                <w:bCs/>
                <w:color w:val="000000"/>
                <w:sz w:val="20"/>
                <w:szCs w:val="20"/>
              </w:rPr>
              <w:t>Comments</w:t>
            </w:r>
          </w:p>
        </w:tc>
      </w:tr>
      <w:tr w:rsidR="00CB7FC6" w:rsidRPr="00CB7FC6" w14:paraId="5BA39FBF" w14:textId="77777777" w:rsidTr="00CB7FC6">
        <w:trPr>
          <w:trHeight w:val="300"/>
        </w:trPr>
        <w:tc>
          <w:tcPr>
            <w:tcW w:w="1348" w:type="pct"/>
            <w:tcBorders>
              <w:top w:val="single" w:sz="4" w:space="0" w:color="auto"/>
              <w:left w:val="nil"/>
              <w:bottom w:val="nil"/>
              <w:right w:val="nil"/>
            </w:tcBorders>
            <w:shd w:val="clear" w:color="auto" w:fill="auto"/>
            <w:noWrap/>
            <w:hideMark/>
          </w:tcPr>
          <w:p w14:paraId="3A079907"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NA</w:t>
            </w:r>
          </w:p>
        </w:tc>
        <w:tc>
          <w:tcPr>
            <w:tcW w:w="1392" w:type="pct"/>
            <w:tcBorders>
              <w:top w:val="single" w:sz="4" w:space="0" w:color="auto"/>
              <w:left w:val="nil"/>
              <w:bottom w:val="nil"/>
              <w:right w:val="nil"/>
            </w:tcBorders>
            <w:shd w:val="clear" w:color="auto" w:fill="auto"/>
            <w:noWrap/>
            <w:hideMark/>
          </w:tcPr>
          <w:p w14:paraId="50866D25"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NA</w:t>
            </w:r>
          </w:p>
          <w:p w14:paraId="501608D8" w14:textId="77777777" w:rsidR="00CB7FC6" w:rsidRPr="00CB7FC6" w:rsidRDefault="00CB7FC6" w:rsidP="00015BF8">
            <w:pPr>
              <w:rPr>
                <w:rFonts w:ascii="Helvetica" w:eastAsia="Times New Roman" w:hAnsi="Helvetica" w:cs="Times New Roman"/>
                <w:color w:val="000000"/>
                <w:sz w:val="20"/>
                <w:szCs w:val="20"/>
              </w:rPr>
            </w:pPr>
          </w:p>
        </w:tc>
        <w:tc>
          <w:tcPr>
            <w:tcW w:w="673" w:type="pct"/>
            <w:tcBorders>
              <w:top w:val="single" w:sz="4" w:space="0" w:color="auto"/>
              <w:left w:val="nil"/>
              <w:bottom w:val="nil"/>
              <w:right w:val="nil"/>
            </w:tcBorders>
            <w:shd w:val="clear" w:color="auto" w:fill="auto"/>
            <w:noWrap/>
            <w:hideMark/>
          </w:tcPr>
          <w:p w14:paraId="785E2F97"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no</w:t>
            </w:r>
          </w:p>
        </w:tc>
        <w:tc>
          <w:tcPr>
            <w:tcW w:w="1587" w:type="pct"/>
            <w:tcBorders>
              <w:top w:val="single" w:sz="4" w:space="0" w:color="auto"/>
              <w:left w:val="nil"/>
              <w:bottom w:val="nil"/>
              <w:right w:val="nil"/>
            </w:tcBorders>
            <w:shd w:val="clear" w:color="auto" w:fill="auto"/>
            <w:noWrap/>
            <w:hideMark/>
          </w:tcPr>
          <w:p w14:paraId="5054ADFD" w14:textId="77777777" w:rsidR="00CB7FC6" w:rsidRPr="00CB7FC6" w:rsidRDefault="00CB7FC6" w:rsidP="00015BF8">
            <w:pPr>
              <w:rPr>
                <w:rFonts w:ascii="Helvetica" w:eastAsia="Times New Roman" w:hAnsi="Helvetica" w:cs="Times New Roman"/>
                <w:sz w:val="20"/>
                <w:szCs w:val="20"/>
              </w:rPr>
            </w:pPr>
          </w:p>
        </w:tc>
      </w:tr>
      <w:tr w:rsidR="00CB7FC6" w:rsidRPr="00CB7FC6" w14:paraId="756B9E03" w14:textId="77777777" w:rsidTr="00015BF8">
        <w:trPr>
          <w:trHeight w:val="300"/>
        </w:trPr>
        <w:tc>
          <w:tcPr>
            <w:tcW w:w="1348" w:type="pct"/>
            <w:tcBorders>
              <w:top w:val="nil"/>
              <w:left w:val="nil"/>
              <w:bottom w:val="nil"/>
              <w:right w:val="nil"/>
            </w:tcBorders>
            <w:shd w:val="clear" w:color="auto" w:fill="auto"/>
            <w:noWrap/>
            <w:hideMark/>
          </w:tcPr>
          <w:p w14:paraId="2F343E40"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NA</w:t>
            </w:r>
          </w:p>
        </w:tc>
        <w:tc>
          <w:tcPr>
            <w:tcW w:w="1392" w:type="pct"/>
            <w:tcBorders>
              <w:top w:val="nil"/>
              <w:left w:val="nil"/>
              <w:bottom w:val="nil"/>
              <w:right w:val="nil"/>
            </w:tcBorders>
            <w:shd w:val="clear" w:color="auto" w:fill="auto"/>
            <w:noWrap/>
            <w:hideMark/>
          </w:tcPr>
          <w:p w14:paraId="0244EB41"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NA</w:t>
            </w:r>
          </w:p>
        </w:tc>
        <w:tc>
          <w:tcPr>
            <w:tcW w:w="673" w:type="pct"/>
            <w:tcBorders>
              <w:top w:val="nil"/>
              <w:left w:val="nil"/>
              <w:bottom w:val="nil"/>
              <w:right w:val="nil"/>
            </w:tcBorders>
            <w:shd w:val="clear" w:color="auto" w:fill="auto"/>
            <w:noWrap/>
            <w:hideMark/>
          </w:tcPr>
          <w:p w14:paraId="2901D376"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no</w:t>
            </w:r>
          </w:p>
        </w:tc>
        <w:tc>
          <w:tcPr>
            <w:tcW w:w="1587" w:type="pct"/>
            <w:tcBorders>
              <w:top w:val="nil"/>
              <w:left w:val="nil"/>
              <w:bottom w:val="nil"/>
              <w:right w:val="nil"/>
            </w:tcBorders>
            <w:shd w:val="clear" w:color="auto" w:fill="auto"/>
            <w:noWrap/>
          </w:tcPr>
          <w:p w14:paraId="461A2E36" w14:textId="77777777" w:rsidR="00CB7FC6" w:rsidRPr="00CB7FC6" w:rsidRDefault="00CB7FC6" w:rsidP="00015BF8">
            <w:pPr>
              <w:rPr>
                <w:rFonts w:ascii="Helvetica" w:eastAsia="Times New Roman" w:hAnsi="Helvetica" w:cs="Times New Roman"/>
                <w:color w:val="000000"/>
                <w:sz w:val="20"/>
                <w:szCs w:val="20"/>
              </w:rPr>
            </w:pPr>
          </w:p>
        </w:tc>
      </w:tr>
      <w:tr w:rsidR="00CB7FC6" w:rsidRPr="00CB7FC6" w14:paraId="0536B9DB" w14:textId="77777777" w:rsidTr="00015BF8">
        <w:trPr>
          <w:trHeight w:val="300"/>
        </w:trPr>
        <w:tc>
          <w:tcPr>
            <w:tcW w:w="1348" w:type="pct"/>
            <w:tcBorders>
              <w:top w:val="nil"/>
              <w:left w:val="nil"/>
              <w:bottom w:val="nil"/>
              <w:right w:val="nil"/>
            </w:tcBorders>
            <w:shd w:val="clear" w:color="auto" w:fill="auto"/>
            <w:noWrap/>
            <w:hideMark/>
          </w:tcPr>
          <w:p w14:paraId="3C99D579"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uncharacterized LOC105253145</w:t>
            </w:r>
          </w:p>
        </w:tc>
        <w:tc>
          <w:tcPr>
            <w:tcW w:w="1392" w:type="pct"/>
            <w:tcBorders>
              <w:top w:val="nil"/>
              <w:left w:val="nil"/>
              <w:bottom w:val="nil"/>
              <w:right w:val="nil"/>
            </w:tcBorders>
            <w:shd w:val="clear" w:color="auto" w:fill="auto"/>
            <w:noWrap/>
            <w:hideMark/>
          </w:tcPr>
          <w:p w14:paraId="749F4A83"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PF00135|Carboxylesterase family</w:t>
            </w:r>
          </w:p>
        </w:tc>
        <w:tc>
          <w:tcPr>
            <w:tcW w:w="673" w:type="pct"/>
            <w:tcBorders>
              <w:top w:val="nil"/>
              <w:left w:val="nil"/>
              <w:bottom w:val="nil"/>
              <w:right w:val="nil"/>
            </w:tcBorders>
            <w:shd w:val="clear" w:color="auto" w:fill="auto"/>
            <w:noWrap/>
            <w:hideMark/>
          </w:tcPr>
          <w:p w14:paraId="1DFA6F57"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no</w:t>
            </w:r>
          </w:p>
        </w:tc>
        <w:tc>
          <w:tcPr>
            <w:tcW w:w="1587" w:type="pct"/>
            <w:tcBorders>
              <w:top w:val="nil"/>
              <w:left w:val="nil"/>
              <w:bottom w:val="nil"/>
              <w:right w:val="nil"/>
            </w:tcBorders>
            <w:shd w:val="clear" w:color="auto" w:fill="auto"/>
            <w:noWrap/>
          </w:tcPr>
          <w:p w14:paraId="2B8E17E0" w14:textId="77777777" w:rsidR="00CB7FC6" w:rsidRPr="00CB7FC6" w:rsidRDefault="00CB7FC6" w:rsidP="00015BF8">
            <w:pPr>
              <w:rPr>
                <w:rFonts w:ascii="Helvetica" w:eastAsia="Times New Roman" w:hAnsi="Helvetica" w:cs="Times New Roman"/>
                <w:color w:val="000000"/>
                <w:sz w:val="20"/>
                <w:szCs w:val="20"/>
              </w:rPr>
            </w:pPr>
          </w:p>
        </w:tc>
      </w:tr>
      <w:tr w:rsidR="00CB7FC6" w:rsidRPr="00CB7FC6" w14:paraId="711ABA5B" w14:textId="77777777" w:rsidTr="00015BF8">
        <w:trPr>
          <w:trHeight w:val="300"/>
        </w:trPr>
        <w:tc>
          <w:tcPr>
            <w:tcW w:w="1348" w:type="pct"/>
            <w:tcBorders>
              <w:top w:val="nil"/>
              <w:left w:val="nil"/>
              <w:bottom w:val="nil"/>
              <w:right w:val="nil"/>
            </w:tcBorders>
            <w:shd w:val="clear" w:color="auto" w:fill="auto"/>
            <w:noWrap/>
            <w:hideMark/>
          </w:tcPr>
          <w:p w14:paraId="1F84B2FE"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uncharacterized LOC105254189</w:t>
            </w:r>
          </w:p>
        </w:tc>
        <w:tc>
          <w:tcPr>
            <w:tcW w:w="1392" w:type="pct"/>
            <w:tcBorders>
              <w:top w:val="nil"/>
              <w:left w:val="nil"/>
              <w:bottom w:val="nil"/>
              <w:right w:val="nil"/>
            </w:tcBorders>
            <w:shd w:val="clear" w:color="auto" w:fill="auto"/>
            <w:noWrap/>
            <w:hideMark/>
          </w:tcPr>
          <w:p w14:paraId="40D38919"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PF13639|Ring finger domain</w:t>
            </w:r>
          </w:p>
        </w:tc>
        <w:tc>
          <w:tcPr>
            <w:tcW w:w="673" w:type="pct"/>
            <w:tcBorders>
              <w:top w:val="nil"/>
              <w:left w:val="nil"/>
              <w:bottom w:val="nil"/>
              <w:right w:val="nil"/>
            </w:tcBorders>
            <w:shd w:val="clear" w:color="auto" w:fill="auto"/>
            <w:noWrap/>
            <w:hideMark/>
          </w:tcPr>
          <w:p w14:paraId="0E3F6139" w14:textId="77777777" w:rsidR="00CB7FC6" w:rsidRPr="00CB7FC6" w:rsidRDefault="00CB7FC6" w:rsidP="00015BF8">
            <w:pPr>
              <w:rPr>
                <w:rFonts w:ascii="Helvetica" w:eastAsia="Times New Roman" w:hAnsi="Helvetica" w:cs="Times New Roman"/>
                <w:sz w:val="20"/>
                <w:szCs w:val="20"/>
              </w:rPr>
            </w:pPr>
            <w:r w:rsidRPr="00CB7FC6">
              <w:rPr>
                <w:rFonts w:ascii="Helvetica" w:eastAsia="Times New Roman" w:hAnsi="Helvetica" w:cs="Times New Roman"/>
                <w:sz w:val="20"/>
                <w:szCs w:val="20"/>
              </w:rPr>
              <w:t>yes</w:t>
            </w:r>
          </w:p>
        </w:tc>
        <w:tc>
          <w:tcPr>
            <w:tcW w:w="1587" w:type="pct"/>
            <w:tcBorders>
              <w:top w:val="nil"/>
              <w:left w:val="nil"/>
              <w:bottom w:val="nil"/>
              <w:right w:val="nil"/>
            </w:tcBorders>
            <w:shd w:val="clear" w:color="auto" w:fill="auto"/>
            <w:noWrap/>
          </w:tcPr>
          <w:p w14:paraId="308172B8" w14:textId="77777777" w:rsidR="00CB7FC6" w:rsidRPr="00CB7FC6" w:rsidRDefault="00CB7FC6" w:rsidP="00015BF8">
            <w:pPr>
              <w:rPr>
                <w:rFonts w:ascii="Helvetica" w:eastAsia="Times New Roman" w:hAnsi="Helvetica" w:cs="Times New Roman"/>
                <w:sz w:val="20"/>
                <w:szCs w:val="20"/>
              </w:rPr>
            </w:pPr>
          </w:p>
        </w:tc>
      </w:tr>
      <w:tr w:rsidR="00CB7FC6" w:rsidRPr="00CB7FC6" w14:paraId="3BD06E62" w14:textId="77777777" w:rsidTr="00015BF8">
        <w:trPr>
          <w:trHeight w:val="300"/>
        </w:trPr>
        <w:tc>
          <w:tcPr>
            <w:tcW w:w="1348" w:type="pct"/>
            <w:tcBorders>
              <w:top w:val="nil"/>
              <w:left w:val="nil"/>
              <w:bottom w:val="nil"/>
              <w:right w:val="nil"/>
            </w:tcBorders>
            <w:shd w:val="clear" w:color="auto" w:fill="auto"/>
            <w:noWrap/>
            <w:hideMark/>
          </w:tcPr>
          <w:p w14:paraId="296C3A22"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cytochrome P450 9e2</w:t>
            </w:r>
          </w:p>
        </w:tc>
        <w:tc>
          <w:tcPr>
            <w:tcW w:w="1392" w:type="pct"/>
            <w:tcBorders>
              <w:top w:val="nil"/>
              <w:left w:val="nil"/>
              <w:bottom w:val="nil"/>
              <w:right w:val="nil"/>
            </w:tcBorders>
            <w:shd w:val="clear" w:color="auto" w:fill="auto"/>
            <w:noWrap/>
            <w:hideMark/>
          </w:tcPr>
          <w:p w14:paraId="37FEF49B"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PF00067|Cytochrome P450</w:t>
            </w:r>
          </w:p>
        </w:tc>
        <w:tc>
          <w:tcPr>
            <w:tcW w:w="673" w:type="pct"/>
            <w:tcBorders>
              <w:top w:val="nil"/>
              <w:left w:val="nil"/>
              <w:bottom w:val="nil"/>
              <w:right w:val="nil"/>
            </w:tcBorders>
            <w:shd w:val="clear" w:color="auto" w:fill="auto"/>
            <w:noWrap/>
            <w:hideMark/>
          </w:tcPr>
          <w:p w14:paraId="4AFAB85F"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no</w:t>
            </w:r>
          </w:p>
        </w:tc>
        <w:tc>
          <w:tcPr>
            <w:tcW w:w="1587" w:type="pct"/>
            <w:tcBorders>
              <w:top w:val="nil"/>
              <w:left w:val="nil"/>
              <w:bottom w:val="nil"/>
              <w:right w:val="nil"/>
            </w:tcBorders>
            <w:shd w:val="clear" w:color="auto" w:fill="auto"/>
            <w:noWrap/>
          </w:tcPr>
          <w:p w14:paraId="0F7FFB18" w14:textId="77777777" w:rsidR="00CB7FC6" w:rsidRPr="00CB7FC6" w:rsidRDefault="00CB7FC6" w:rsidP="00015BF8">
            <w:pPr>
              <w:rPr>
                <w:rFonts w:ascii="Helvetica" w:eastAsia="Times New Roman" w:hAnsi="Helvetica" w:cs="Times New Roman"/>
                <w:sz w:val="20"/>
                <w:szCs w:val="20"/>
              </w:rPr>
            </w:pPr>
          </w:p>
        </w:tc>
      </w:tr>
      <w:tr w:rsidR="00CB7FC6" w:rsidRPr="00CB7FC6" w14:paraId="6986E929" w14:textId="77777777" w:rsidTr="00015BF8">
        <w:trPr>
          <w:trHeight w:val="300"/>
        </w:trPr>
        <w:tc>
          <w:tcPr>
            <w:tcW w:w="1348" w:type="pct"/>
            <w:tcBorders>
              <w:top w:val="nil"/>
              <w:left w:val="nil"/>
              <w:bottom w:val="nil"/>
              <w:right w:val="nil"/>
            </w:tcBorders>
            <w:shd w:val="clear" w:color="auto" w:fill="auto"/>
            <w:noWrap/>
            <w:hideMark/>
          </w:tcPr>
          <w:p w14:paraId="462774F3" w14:textId="77777777" w:rsidR="00CB7FC6" w:rsidRPr="00CB7FC6" w:rsidRDefault="00CB7FC6" w:rsidP="00015BF8">
            <w:pPr>
              <w:rPr>
                <w:rFonts w:ascii="Helvetica" w:eastAsia="Times New Roman" w:hAnsi="Helvetica" w:cs="Times New Roman"/>
                <w:color w:val="000000"/>
                <w:sz w:val="20"/>
                <w:szCs w:val="20"/>
              </w:rPr>
            </w:pPr>
            <w:proofErr w:type="spellStart"/>
            <w:r w:rsidRPr="00CB7FC6">
              <w:rPr>
                <w:rFonts w:ascii="Helvetica" w:eastAsia="Times New Roman" w:hAnsi="Helvetica" w:cs="Times New Roman"/>
                <w:color w:val="000000"/>
                <w:sz w:val="20"/>
                <w:szCs w:val="20"/>
              </w:rPr>
              <w:t>sialin</w:t>
            </w:r>
            <w:proofErr w:type="spellEnd"/>
          </w:p>
        </w:tc>
        <w:tc>
          <w:tcPr>
            <w:tcW w:w="1392" w:type="pct"/>
            <w:tcBorders>
              <w:top w:val="nil"/>
              <w:left w:val="nil"/>
              <w:bottom w:val="nil"/>
              <w:right w:val="nil"/>
            </w:tcBorders>
            <w:shd w:val="clear" w:color="auto" w:fill="auto"/>
            <w:noWrap/>
            <w:hideMark/>
          </w:tcPr>
          <w:p w14:paraId="72BE75D3"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NAPF07690|Major Facilitator Superfamily</w:t>
            </w:r>
          </w:p>
        </w:tc>
        <w:tc>
          <w:tcPr>
            <w:tcW w:w="673" w:type="pct"/>
            <w:tcBorders>
              <w:top w:val="nil"/>
              <w:left w:val="nil"/>
              <w:bottom w:val="nil"/>
              <w:right w:val="nil"/>
            </w:tcBorders>
            <w:shd w:val="clear" w:color="auto" w:fill="auto"/>
            <w:noWrap/>
            <w:hideMark/>
          </w:tcPr>
          <w:p w14:paraId="0FBB20E8"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yes</w:t>
            </w:r>
          </w:p>
        </w:tc>
        <w:tc>
          <w:tcPr>
            <w:tcW w:w="1587" w:type="pct"/>
            <w:tcBorders>
              <w:top w:val="nil"/>
              <w:left w:val="nil"/>
              <w:bottom w:val="nil"/>
              <w:right w:val="nil"/>
            </w:tcBorders>
            <w:shd w:val="clear" w:color="auto" w:fill="auto"/>
            <w:noWrap/>
          </w:tcPr>
          <w:p w14:paraId="18EA247F" w14:textId="77777777" w:rsidR="00CB7FC6" w:rsidRPr="00CB7FC6" w:rsidRDefault="00CB7FC6" w:rsidP="00015BF8">
            <w:pPr>
              <w:rPr>
                <w:rFonts w:ascii="Helvetica" w:eastAsia="Times New Roman" w:hAnsi="Helvetica" w:cs="Times New Roman"/>
                <w:color w:val="000000"/>
                <w:sz w:val="20"/>
                <w:szCs w:val="20"/>
              </w:rPr>
            </w:pPr>
          </w:p>
        </w:tc>
      </w:tr>
      <w:tr w:rsidR="00CB7FC6" w:rsidRPr="00CB7FC6" w14:paraId="561B683B" w14:textId="77777777" w:rsidTr="00015BF8">
        <w:trPr>
          <w:trHeight w:val="300"/>
        </w:trPr>
        <w:tc>
          <w:tcPr>
            <w:tcW w:w="1348" w:type="pct"/>
            <w:tcBorders>
              <w:top w:val="nil"/>
              <w:left w:val="nil"/>
              <w:bottom w:val="nil"/>
              <w:right w:val="nil"/>
            </w:tcBorders>
            <w:shd w:val="clear" w:color="auto" w:fill="auto"/>
            <w:noWrap/>
            <w:hideMark/>
          </w:tcPr>
          <w:p w14:paraId="77ABBF9B"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uncharacterized LOC105251735</w:t>
            </w:r>
          </w:p>
        </w:tc>
        <w:tc>
          <w:tcPr>
            <w:tcW w:w="1392" w:type="pct"/>
            <w:tcBorders>
              <w:top w:val="nil"/>
              <w:left w:val="nil"/>
              <w:bottom w:val="nil"/>
              <w:right w:val="nil"/>
            </w:tcBorders>
            <w:shd w:val="clear" w:color="auto" w:fill="auto"/>
            <w:noWrap/>
            <w:hideMark/>
          </w:tcPr>
          <w:p w14:paraId="12E284DD"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NA</w:t>
            </w:r>
          </w:p>
        </w:tc>
        <w:tc>
          <w:tcPr>
            <w:tcW w:w="673" w:type="pct"/>
            <w:tcBorders>
              <w:top w:val="nil"/>
              <w:left w:val="nil"/>
              <w:bottom w:val="nil"/>
              <w:right w:val="nil"/>
            </w:tcBorders>
            <w:shd w:val="clear" w:color="auto" w:fill="auto"/>
            <w:noWrap/>
            <w:hideMark/>
          </w:tcPr>
          <w:p w14:paraId="170FC6F6"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yes</w:t>
            </w:r>
          </w:p>
        </w:tc>
        <w:tc>
          <w:tcPr>
            <w:tcW w:w="1587" w:type="pct"/>
            <w:tcBorders>
              <w:top w:val="nil"/>
              <w:left w:val="nil"/>
              <w:bottom w:val="nil"/>
              <w:right w:val="nil"/>
            </w:tcBorders>
            <w:shd w:val="clear" w:color="auto" w:fill="auto"/>
            <w:noWrap/>
          </w:tcPr>
          <w:p w14:paraId="53509971" w14:textId="77777777" w:rsidR="00CB7FC6" w:rsidRPr="00CB7FC6" w:rsidRDefault="00CB7FC6" w:rsidP="00015BF8">
            <w:pPr>
              <w:rPr>
                <w:rFonts w:ascii="Helvetica" w:eastAsia="Times New Roman" w:hAnsi="Helvetica" w:cs="Times New Roman"/>
                <w:sz w:val="20"/>
                <w:szCs w:val="20"/>
              </w:rPr>
            </w:pPr>
          </w:p>
        </w:tc>
      </w:tr>
      <w:tr w:rsidR="00CB7FC6" w:rsidRPr="00CB7FC6" w14:paraId="5803CC10" w14:textId="77777777" w:rsidTr="00015BF8">
        <w:trPr>
          <w:trHeight w:val="300"/>
        </w:trPr>
        <w:tc>
          <w:tcPr>
            <w:tcW w:w="1348" w:type="pct"/>
            <w:tcBorders>
              <w:top w:val="nil"/>
              <w:left w:val="nil"/>
              <w:bottom w:val="nil"/>
              <w:right w:val="nil"/>
            </w:tcBorders>
            <w:shd w:val="clear" w:color="auto" w:fill="auto"/>
            <w:noWrap/>
            <w:hideMark/>
          </w:tcPr>
          <w:p w14:paraId="747A73A6"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pheromone-binding protein Gp-9-like</w:t>
            </w:r>
          </w:p>
        </w:tc>
        <w:tc>
          <w:tcPr>
            <w:tcW w:w="1392" w:type="pct"/>
            <w:tcBorders>
              <w:top w:val="nil"/>
              <w:left w:val="nil"/>
              <w:bottom w:val="nil"/>
              <w:right w:val="nil"/>
            </w:tcBorders>
            <w:shd w:val="clear" w:color="auto" w:fill="auto"/>
            <w:noWrap/>
            <w:hideMark/>
          </w:tcPr>
          <w:p w14:paraId="18B3ADCE"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PF01395|PBP/GOBP family</w:t>
            </w:r>
          </w:p>
        </w:tc>
        <w:tc>
          <w:tcPr>
            <w:tcW w:w="673" w:type="pct"/>
            <w:tcBorders>
              <w:top w:val="nil"/>
              <w:left w:val="nil"/>
              <w:bottom w:val="nil"/>
              <w:right w:val="nil"/>
            </w:tcBorders>
            <w:shd w:val="clear" w:color="auto" w:fill="auto"/>
            <w:noWrap/>
            <w:hideMark/>
          </w:tcPr>
          <w:p w14:paraId="401F6D1C"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no</w:t>
            </w:r>
          </w:p>
        </w:tc>
        <w:tc>
          <w:tcPr>
            <w:tcW w:w="1587" w:type="pct"/>
            <w:tcBorders>
              <w:top w:val="nil"/>
              <w:left w:val="nil"/>
              <w:bottom w:val="nil"/>
              <w:right w:val="nil"/>
            </w:tcBorders>
            <w:shd w:val="clear" w:color="auto" w:fill="auto"/>
            <w:noWrap/>
          </w:tcPr>
          <w:p w14:paraId="10A9AAA2"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sz w:val="20"/>
                <w:szCs w:val="20"/>
              </w:rPr>
              <w:t>Odorant binding</w:t>
            </w:r>
          </w:p>
        </w:tc>
      </w:tr>
      <w:tr w:rsidR="00CB7FC6" w:rsidRPr="00CB7FC6" w14:paraId="5019E11F" w14:textId="77777777" w:rsidTr="00015BF8">
        <w:trPr>
          <w:trHeight w:val="300"/>
        </w:trPr>
        <w:tc>
          <w:tcPr>
            <w:tcW w:w="1348" w:type="pct"/>
            <w:tcBorders>
              <w:top w:val="nil"/>
              <w:left w:val="nil"/>
              <w:bottom w:val="nil"/>
              <w:right w:val="nil"/>
            </w:tcBorders>
            <w:shd w:val="clear" w:color="auto" w:fill="auto"/>
            <w:noWrap/>
            <w:hideMark/>
          </w:tcPr>
          <w:p w14:paraId="24B85908"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NA</w:t>
            </w:r>
          </w:p>
        </w:tc>
        <w:tc>
          <w:tcPr>
            <w:tcW w:w="1392" w:type="pct"/>
            <w:tcBorders>
              <w:top w:val="nil"/>
              <w:left w:val="nil"/>
              <w:bottom w:val="nil"/>
              <w:right w:val="nil"/>
            </w:tcBorders>
            <w:shd w:val="clear" w:color="auto" w:fill="auto"/>
            <w:noWrap/>
            <w:hideMark/>
          </w:tcPr>
          <w:p w14:paraId="4F3C4BDE"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NA</w:t>
            </w:r>
          </w:p>
        </w:tc>
        <w:tc>
          <w:tcPr>
            <w:tcW w:w="673" w:type="pct"/>
            <w:tcBorders>
              <w:top w:val="nil"/>
              <w:left w:val="nil"/>
              <w:bottom w:val="nil"/>
              <w:right w:val="nil"/>
            </w:tcBorders>
            <w:shd w:val="clear" w:color="auto" w:fill="auto"/>
            <w:noWrap/>
            <w:hideMark/>
          </w:tcPr>
          <w:p w14:paraId="573753D2"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no</w:t>
            </w:r>
          </w:p>
        </w:tc>
        <w:tc>
          <w:tcPr>
            <w:tcW w:w="1587" w:type="pct"/>
            <w:tcBorders>
              <w:top w:val="nil"/>
              <w:left w:val="nil"/>
              <w:bottom w:val="nil"/>
              <w:right w:val="nil"/>
            </w:tcBorders>
            <w:shd w:val="clear" w:color="auto" w:fill="auto"/>
            <w:noWrap/>
          </w:tcPr>
          <w:p w14:paraId="009786C5" w14:textId="77777777" w:rsidR="00CB7FC6" w:rsidRPr="00CB7FC6" w:rsidRDefault="00CB7FC6" w:rsidP="00015BF8">
            <w:pPr>
              <w:rPr>
                <w:rFonts w:ascii="Helvetica" w:eastAsia="Times New Roman" w:hAnsi="Helvetica" w:cs="Times New Roman"/>
                <w:sz w:val="20"/>
                <w:szCs w:val="20"/>
              </w:rPr>
            </w:pPr>
          </w:p>
        </w:tc>
      </w:tr>
      <w:tr w:rsidR="00CB7FC6" w:rsidRPr="00CB7FC6" w14:paraId="008A379B" w14:textId="77777777" w:rsidTr="00015BF8">
        <w:trPr>
          <w:trHeight w:val="300"/>
        </w:trPr>
        <w:tc>
          <w:tcPr>
            <w:tcW w:w="1348" w:type="pct"/>
            <w:tcBorders>
              <w:top w:val="nil"/>
              <w:left w:val="nil"/>
              <w:bottom w:val="nil"/>
              <w:right w:val="nil"/>
            </w:tcBorders>
            <w:shd w:val="clear" w:color="auto" w:fill="auto"/>
            <w:noWrap/>
            <w:hideMark/>
          </w:tcPr>
          <w:p w14:paraId="0BDE4CE4"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uncharacterized LOC112639471</w:t>
            </w:r>
          </w:p>
        </w:tc>
        <w:tc>
          <w:tcPr>
            <w:tcW w:w="1392" w:type="pct"/>
            <w:tcBorders>
              <w:top w:val="nil"/>
              <w:left w:val="nil"/>
              <w:bottom w:val="nil"/>
              <w:right w:val="nil"/>
            </w:tcBorders>
            <w:shd w:val="clear" w:color="auto" w:fill="auto"/>
            <w:noWrap/>
            <w:hideMark/>
          </w:tcPr>
          <w:p w14:paraId="6A38719C"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PF15430|Single domain von Willebrand factor type C</w:t>
            </w:r>
          </w:p>
        </w:tc>
        <w:tc>
          <w:tcPr>
            <w:tcW w:w="673" w:type="pct"/>
            <w:tcBorders>
              <w:top w:val="nil"/>
              <w:left w:val="nil"/>
              <w:bottom w:val="nil"/>
              <w:right w:val="nil"/>
            </w:tcBorders>
            <w:shd w:val="clear" w:color="auto" w:fill="auto"/>
            <w:noWrap/>
            <w:hideMark/>
          </w:tcPr>
          <w:p w14:paraId="126B6303"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no</w:t>
            </w:r>
          </w:p>
        </w:tc>
        <w:tc>
          <w:tcPr>
            <w:tcW w:w="1587" w:type="pct"/>
            <w:tcBorders>
              <w:top w:val="nil"/>
              <w:left w:val="nil"/>
              <w:bottom w:val="nil"/>
              <w:right w:val="nil"/>
            </w:tcBorders>
            <w:shd w:val="clear" w:color="auto" w:fill="auto"/>
            <w:noWrap/>
          </w:tcPr>
          <w:p w14:paraId="3CC22ECD"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Response to infection and changes in nutritional status, especially in arthropods.</w:t>
            </w:r>
          </w:p>
        </w:tc>
      </w:tr>
      <w:tr w:rsidR="00CB7FC6" w:rsidRPr="00CB7FC6" w14:paraId="37DCA834" w14:textId="77777777" w:rsidTr="00015BF8">
        <w:trPr>
          <w:trHeight w:val="300"/>
        </w:trPr>
        <w:tc>
          <w:tcPr>
            <w:tcW w:w="1348" w:type="pct"/>
            <w:tcBorders>
              <w:top w:val="nil"/>
              <w:left w:val="nil"/>
              <w:bottom w:val="nil"/>
              <w:right w:val="nil"/>
            </w:tcBorders>
            <w:shd w:val="clear" w:color="auto" w:fill="auto"/>
            <w:noWrap/>
            <w:hideMark/>
          </w:tcPr>
          <w:p w14:paraId="5183F393"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protein CREG1</w:t>
            </w:r>
          </w:p>
        </w:tc>
        <w:tc>
          <w:tcPr>
            <w:tcW w:w="1392" w:type="pct"/>
            <w:tcBorders>
              <w:top w:val="nil"/>
              <w:left w:val="nil"/>
              <w:bottom w:val="nil"/>
              <w:right w:val="nil"/>
            </w:tcBorders>
            <w:shd w:val="clear" w:color="auto" w:fill="auto"/>
            <w:noWrap/>
            <w:hideMark/>
          </w:tcPr>
          <w:p w14:paraId="4E242612"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PF13883|Pyridoxamine 5'-phosphate oxidase</w:t>
            </w:r>
          </w:p>
        </w:tc>
        <w:tc>
          <w:tcPr>
            <w:tcW w:w="673" w:type="pct"/>
            <w:tcBorders>
              <w:top w:val="nil"/>
              <w:left w:val="nil"/>
              <w:bottom w:val="nil"/>
              <w:right w:val="nil"/>
            </w:tcBorders>
            <w:shd w:val="clear" w:color="auto" w:fill="auto"/>
            <w:noWrap/>
            <w:hideMark/>
          </w:tcPr>
          <w:p w14:paraId="5BD55369"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 xml:space="preserve">no </w:t>
            </w:r>
          </w:p>
        </w:tc>
        <w:tc>
          <w:tcPr>
            <w:tcW w:w="1587" w:type="pct"/>
            <w:tcBorders>
              <w:top w:val="nil"/>
              <w:left w:val="nil"/>
              <w:bottom w:val="nil"/>
              <w:right w:val="nil"/>
            </w:tcBorders>
            <w:shd w:val="clear" w:color="auto" w:fill="auto"/>
            <w:noWrap/>
          </w:tcPr>
          <w:p w14:paraId="21EDB8F1"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Control of cell growth and apoptosis</w:t>
            </w:r>
          </w:p>
        </w:tc>
      </w:tr>
      <w:tr w:rsidR="00CB7FC6" w:rsidRPr="00CB7FC6" w14:paraId="2E22B484" w14:textId="77777777" w:rsidTr="00015BF8">
        <w:trPr>
          <w:trHeight w:val="300"/>
        </w:trPr>
        <w:tc>
          <w:tcPr>
            <w:tcW w:w="1348" w:type="pct"/>
            <w:tcBorders>
              <w:top w:val="nil"/>
              <w:left w:val="nil"/>
              <w:bottom w:val="nil"/>
              <w:right w:val="nil"/>
            </w:tcBorders>
            <w:shd w:val="clear" w:color="auto" w:fill="auto"/>
            <w:noWrap/>
            <w:hideMark/>
          </w:tcPr>
          <w:p w14:paraId="272DA4A4"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defensin</w:t>
            </w:r>
          </w:p>
        </w:tc>
        <w:tc>
          <w:tcPr>
            <w:tcW w:w="1392" w:type="pct"/>
            <w:tcBorders>
              <w:top w:val="nil"/>
              <w:left w:val="nil"/>
              <w:bottom w:val="nil"/>
              <w:right w:val="nil"/>
            </w:tcBorders>
            <w:shd w:val="clear" w:color="auto" w:fill="auto"/>
            <w:noWrap/>
            <w:hideMark/>
          </w:tcPr>
          <w:p w14:paraId="1D11E193"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PF01097|Arthropod defensin</w:t>
            </w:r>
          </w:p>
        </w:tc>
        <w:tc>
          <w:tcPr>
            <w:tcW w:w="673" w:type="pct"/>
            <w:tcBorders>
              <w:top w:val="nil"/>
              <w:left w:val="nil"/>
              <w:bottom w:val="nil"/>
              <w:right w:val="nil"/>
            </w:tcBorders>
            <w:shd w:val="clear" w:color="auto" w:fill="auto"/>
            <w:noWrap/>
            <w:hideMark/>
          </w:tcPr>
          <w:p w14:paraId="52078E81"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no</w:t>
            </w:r>
          </w:p>
        </w:tc>
        <w:tc>
          <w:tcPr>
            <w:tcW w:w="1587" w:type="pct"/>
            <w:tcBorders>
              <w:top w:val="nil"/>
              <w:left w:val="nil"/>
              <w:bottom w:val="nil"/>
              <w:right w:val="nil"/>
            </w:tcBorders>
            <w:shd w:val="clear" w:color="auto" w:fill="auto"/>
            <w:noWrap/>
          </w:tcPr>
          <w:p w14:paraId="06F2DD5C"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Arthropod immunity, especially against bacteria</w:t>
            </w:r>
          </w:p>
        </w:tc>
      </w:tr>
      <w:tr w:rsidR="00CB7FC6" w:rsidRPr="00CB7FC6" w14:paraId="688970A3" w14:textId="77777777" w:rsidTr="00015BF8">
        <w:trPr>
          <w:trHeight w:val="300"/>
        </w:trPr>
        <w:tc>
          <w:tcPr>
            <w:tcW w:w="1348" w:type="pct"/>
            <w:tcBorders>
              <w:top w:val="nil"/>
              <w:left w:val="nil"/>
              <w:bottom w:val="nil"/>
              <w:right w:val="nil"/>
            </w:tcBorders>
            <w:shd w:val="clear" w:color="auto" w:fill="auto"/>
            <w:noWrap/>
            <w:hideMark/>
          </w:tcPr>
          <w:p w14:paraId="0473F83C"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uncharacterized LOC112639414</w:t>
            </w:r>
          </w:p>
        </w:tc>
        <w:tc>
          <w:tcPr>
            <w:tcW w:w="1392" w:type="pct"/>
            <w:tcBorders>
              <w:top w:val="nil"/>
              <w:left w:val="nil"/>
              <w:bottom w:val="nil"/>
              <w:right w:val="nil"/>
            </w:tcBorders>
            <w:shd w:val="clear" w:color="auto" w:fill="auto"/>
            <w:noWrap/>
            <w:hideMark/>
          </w:tcPr>
          <w:p w14:paraId="7006C5D3"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PF01395|PBP/GOBP family</w:t>
            </w:r>
          </w:p>
        </w:tc>
        <w:tc>
          <w:tcPr>
            <w:tcW w:w="673" w:type="pct"/>
            <w:tcBorders>
              <w:top w:val="nil"/>
              <w:left w:val="nil"/>
              <w:bottom w:val="nil"/>
              <w:right w:val="nil"/>
            </w:tcBorders>
            <w:shd w:val="clear" w:color="auto" w:fill="auto"/>
            <w:noWrap/>
            <w:hideMark/>
          </w:tcPr>
          <w:p w14:paraId="4EE01A0D"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no</w:t>
            </w:r>
          </w:p>
        </w:tc>
        <w:tc>
          <w:tcPr>
            <w:tcW w:w="1587" w:type="pct"/>
            <w:tcBorders>
              <w:top w:val="nil"/>
              <w:left w:val="nil"/>
              <w:bottom w:val="nil"/>
              <w:right w:val="nil"/>
            </w:tcBorders>
            <w:shd w:val="clear" w:color="auto" w:fill="auto"/>
            <w:noWrap/>
          </w:tcPr>
          <w:p w14:paraId="06543BDE"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sz w:val="20"/>
                <w:szCs w:val="20"/>
              </w:rPr>
              <w:t>Odorant binding</w:t>
            </w:r>
          </w:p>
        </w:tc>
      </w:tr>
      <w:tr w:rsidR="00CB7FC6" w:rsidRPr="00CB7FC6" w14:paraId="2EC71EC0" w14:textId="77777777" w:rsidTr="00015BF8">
        <w:trPr>
          <w:trHeight w:val="300"/>
        </w:trPr>
        <w:tc>
          <w:tcPr>
            <w:tcW w:w="1348" w:type="pct"/>
            <w:tcBorders>
              <w:top w:val="nil"/>
              <w:left w:val="nil"/>
              <w:bottom w:val="nil"/>
              <w:right w:val="nil"/>
            </w:tcBorders>
            <w:shd w:val="clear" w:color="auto" w:fill="auto"/>
            <w:noWrap/>
            <w:hideMark/>
          </w:tcPr>
          <w:p w14:paraId="7BB317DE"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2-amino-3-ketobutyrate coenzyme A ligase, mitochondrial-like</w:t>
            </w:r>
          </w:p>
        </w:tc>
        <w:tc>
          <w:tcPr>
            <w:tcW w:w="1392" w:type="pct"/>
            <w:tcBorders>
              <w:top w:val="nil"/>
              <w:left w:val="nil"/>
              <w:bottom w:val="nil"/>
              <w:right w:val="nil"/>
            </w:tcBorders>
            <w:shd w:val="clear" w:color="auto" w:fill="auto"/>
            <w:noWrap/>
            <w:hideMark/>
          </w:tcPr>
          <w:p w14:paraId="20A7AD1E"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PF00155|Aminotransferase class I and II</w:t>
            </w:r>
          </w:p>
        </w:tc>
        <w:tc>
          <w:tcPr>
            <w:tcW w:w="673" w:type="pct"/>
            <w:tcBorders>
              <w:top w:val="nil"/>
              <w:left w:val="nil"/>
              <w:bottom w:val="nil"/>
              <w:right w:val="nil"/>
            </w:tcBorders>
            <w:shd w:val="clear" w:color="auto" w:fill="auto"/>
            <w:noWrap/>
            <w:hideMark/>
          </w:tcPr>
          <w:p w14:paraId="5BA908FA"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no</w:t>
            </w:r>
          </w:p>
        </w:tc>
        <w:tc>
          <w:tcPr>
            <w:tcW w:w="1587" w:type="pct"/>
            <w:tcBorders>
              <w:top w:val="nil"/>
              <w:left w:val="nil"/>
              <w:bottom w:val="nil"/>
              <w:right w:val="nil"/>
            </w:tcBorders>
            <w:shd w:val="clear" w:color="auto" w:fill="auto"/>
            <w:noWrap/>
          </w:tcPr>
          <w:p w14:paraId="7ECA37AF" w14:textId="77777777" w:rsidR="00CB7FC6" w:rsidRPr="00CB7FC6" w:rsidRDefault="00CB7FC6" w:rsidP="00015BF8">
            <w:pPr>
              <w:rPr>
                <w:rFonts w:ascii="Helvetica" w:eastAsia="Times New Roman" w:hAnsi="Helvetica" w:cs="Times New Roman"/>
                <w:color w:val="000000"/>
                <w:sz w:val="20"/>
                <w:szCs w:val="20"/>
              </w:rPr>
            </w:pPr>
          </w:p>
        </w:tc>
      </w:tr>
      <w:tr w:rsidR="00CB7FC6" w:rsidRPr="00CB7FC6" w14:paraId="3DFBF61C" w14:textId="77777777" w:rsidTr="00015BF8">
        <w:trPr>
          <w:trHeight w:val="300"/>
        </w:trPr>
        <w:tc>
          <w:tcPr>
            <w:tcW w:w="1348" w:type="pct"/>
            <w:tcBorders>
              <w:top w:val="nil"/>
              <w:left w:val="nil"/>
              <w:bottom w:val="nil"/>
              <w:right w:val="nil"/>
            </w:tcBorders>
            <w:shd w:val="clear" w:color="auto" w:fill="auto"/>
            <w:noWrap/>
            <w:hideMark/>
          </w:tcPr>
          <w:p w14:paraId="27F36E10"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uncharacterized LOC105255569</w:t>
            </w:r>
          </w:p>
        </w:tc>
        <w:tc>
          <w:tcPr>
            <w:tcW w:w="1392" w:type="pct"/>
            <w:tcBorders>
              <w:top w:val="nil"/>
              <w:left w:val="nil"/>
              <w:bottom w:val="nil"/>
              <w:right w:val="nil"/>
            </w:tcBorders>
            <w:shd w:val="clear" w:color="auto" w:fill="auto"/>
            <w:noWrap/>
            <w:hideMark/>
          </w:tcPr>
          <w:p w14:paraId="40D22C23"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PF13445|RING-type zinc-finger, PF00240|Ubiquitin family</w:t>
            </w:r>
          </w:p>
        </w:tc>
        <w:tc>
          <w:tcPr>
            <w:tcW w:w="673" w:type="pct"/>
            <w:tcBorders>
              <w:top w:val="nil"/>
              <w:left w:val="nil"/>
              <w:bottom w:val="nil"/>
              <w:right w:val="nil"/>
            </w:tcBorders>
            <w:shd w:val="clear" w:color="auto" w:fill="auto"/>
            <w:noWrap/>
            <w:hideMark/>
          </w:tcPr>
          <w:p w14:paraId="59F409C3"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no</w:t>
            </w:r>
          </w:p>
        </w:tc>
        <w:tc>
          <w:tcPr>
            <w:tcW w:w="1587" w:type="pct"/>
            <w:tcBorders>
              <w:top w:val="nil"/>
              <w:left w:val="nil"/>
              <w:bottom w:val="nil"/>
              <w:right w:val="nil"/>
            </w:tcBorders>
            <w:shd w:val="clear" w:color="auto" w:fill="auto"/>
            <w:noWrap/>
          </w:tcPr>
          <w:p w14:paraId="02276FE3" w14:textId="77777777" w:rsidR="00CB7FC6" w:rsidRPr="00CB7FC6" w:rsidRDefault="00CB7FC6" w:rsidP="00015BF8">
            <w:pPr>
              <w:rPr>
                <w:rFonts w:ascii="Helvetica" w:eastAsia="Times New Roman" w:hAnsi="Helvetica" w:cs="Times New Roman"/>
                <w:color w:val="000000"/>
                <w:sz w:val="20"/>
                <w:szCs w:val="20"/>
              </w:rPr>
            </w:pPr>
          </w:p>
        </w:tc>
      </w:tr>
      <w:tr w:rsidR="00CB7FC6" w:rsidRPr="00CB7FC6" w14:paraId="4E009860" w14:textId="77777777" w:rsidTr="00015BF8">
        <w:trPr>
          <w:trHeight w:val="300"/>
        </w:trPr>
        <w:tc>
          <w:tcPr>
            <w:tcW w:w="1348" w:type="pct"/>
            <w:tcBorders>
              <w:top w:val="nil"/>
              <w:left w:val="nil"/>
              <w:bottom w:val="nil"/>
              <w:right w:val="nil"/>
            </w:tcBorders>
            <w:shd w:val="clear" w:color="auto" w:fill="auto"/>
            <w:noWrap/>
            <w:hideMark/>
          </w:tcPr>
          <w:p w14:paraId="061D752E" w14:textId="77777777" w:rsidR="00CB7FC6" w:rsidRPr="00CB7FC6" w:rsidRDefault="00CB7FC6" w:rsidP="00015BF8">
            <w:pPr>
              <w:rPr>
                <w:rFonts w:ascii="Helvetica" w:eastAsia="Times New Roman" w:hAnsi="Helvetica" w:cs="Times New Roman"/>
                <w:color w:val="000000"/>
                <w:sz w:val="20"/>
                <w:szCs w:val="20"/>
              </w:rPr>
            </w:pPr>
            <w:proofErr w:type="spellStart"/>
            <w:r w:rsidRPr="00CB7FC6">
              <w:rPr>
                <w:rFonts w:ascii="Helvetica" w:eastAsia="Times New Roman" w:hAnsi="Helvetica" w:cs="Times New Roman"/>
                <w:color w:val="000000"/>
                <w:sz w:val="20"/>
                <w:szCs w:val="20"/>
              </w:rPr>
              <w:t>regucalcin</w:t>
            </w:r>
            <w:proofErr w:type="spellEnd"/>
          </w:p>
        </w:tc>
        <w:tc>
          <w:tcPr>
            <w:tcW w:w="1392" w:type="pct"/>
            <w:tcBorders>
              <w:top w:val="nil"/>
              <w:left w:val="nil"/>
              <w:bottom w:val="nil"/>
              <w:right w:val="nil"/>
            </w:tcBorders>
            <w:shd w:val="clear" w:color="auto" w:fill="auto"/>
            <w:noWrap/>
            <w:hideMark/>
          </w:tcPr>
          <w:p w14:paraId="33252A7F"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PF08450|SMP-30/</w:t>
            </w:r>
            <w:proofErr w:type="spellStart"/>
            <w:r w:rsidRPr="00CB7FC6">
              <w:rPr>
                <w:rFonts w:ascii="Helvetica" w:eastAsia="Times New Roman" w:hAnsi="Helvetica" w:cs="Times New Roman"/>
                <w:color w:val="000000"/>
                <w:sz w:val="20"/>
                <w:szCs w:val="20"/>
              </w:rPr>
              <w:t>Gluconolactonase</w:t>
            </w:r>
            <w:proofErr w:type="spellEnd"/>
            <w:r w:rsidRPr="00CB7FC6">
              <w:rPr>
                <w:rFonts w:ascii="Helvetica" w:eastAsia="Times New Roman" w:hAnsi="Helvetica" w:cs="Times New Roman"/>
                <w:color w:val="000000"/>
                <w:sz w:val="20"/>
                <w:szCs w:val="20"/>
              </w:rPr>
              <w:t>/LRE-like region</w:t>
            </w:r>
          </w:p>
        </w:tc>
        <w:tc>
          <w:tcPr>
            <w:tcW w:w="673" w:type="pct"/>
            <w:tcBorders>
              <w:top w:val="nil"/>
              <w:left w:val="nil"/>
              <w:bottom w:val="nil"/>
              <w:right w:val="nil"/>
            </w:tcBorders>
            <w:shd w:val="clear" w:color="auto" w:fill="auto"/>
            <w:noWrap/>
            <w:hideMark/>
          </w:tcPr>
          <w:p w14:paraId="33DC1A3C"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no</w:t>
            </w:r>
          </w:p>
        </w:tc>
        <w:tc>
          <w:tcPr>
            <w:tcW w:w="1587" w:type="pct"/>
            <w:tcBorders>
              <w:top w:val="nil"/>
              <w:left w:val="nil"/>
              <w:bottom w:val="nil"/>
              <w:right w:val="nil"/>
            </w:tcBorders>
            <w:shd w:val="clear" w:color="auto" w:fill="auto"/>
            <w:noWrap/>
          </w:tcPr>
          <w:p w14:paraId="1DE7504F"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Modulates calcium dependent processes and signaling</w:t>
            </w:r>
          </w:p>
        </w:tc>
      </w:tr>
      <w:tr w:rsidR="00CB7FC6" w:rsidRPr="00CB7FC6" w14:paraId="732376E8" w14:textId="77777777" w:rsidTr="00015BF8">
        <w:trPr>
          <w:trHeight w:val="300"/>
        </w:trPr>
        <w:tc>
          <w:tcPr>
            <w:tcW w:w="1348" w:type="pct"/>
            <w:tcBorders>
              <w:top w:val="nil"/>
              <w:left w:val="nil"/>
              <w:bottom w:val="nil"/>
              <w:right w:val="nil"/>
            </w:tcBorders>
            <w:shd w:val="clear" w:color="auto" w:fill="auto"/>
            <w:noWrap/>
            <w:hideMark/>
          </w:tcPr>
          <w:p w14:paraId="07E28521"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lastRenderedPageBreak/>
              <w:t>ankyrin-1</w:t>
            </w:r>
          </w:p>
        </w:tc>
        <w:tc>
          <w:tcPr>
            <w:tcW w:w="1392" w:type="pct"/>
            <w:tcBorders>
              <w:top w:val="nil"/>
              <w:left w:val="nil"/>
              <w:bottom w:val="nil"/>
              <w:right w:val="nil"/>
            </w:tcBorders>
            <w:shd w:val="clear" w:color="auto" w:fill="auto"/>
            <w:noWrap/>
            <w:hideMark/>
          </w:tcPr>
          <w:p w14:paraId="1819E5D5"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 xml:space="preserve">PF07525|SOCS box, PF00023|Ankyrin repeat, PF12796|Ankyrin repeat </w:t>
            </w:r>
          </w:p>
        </w:tc>
        <w:tc>
          <w:tcPr>
            <w:tcW w:w="673" w:type="pct"/>
            <w:tcBorders>
              <w:top w:val="nil"/>
              <w:left w:val="nil"/>
              <w:bottom w:val="nil"/>
              <w:right w:val="nil"/>
            </w:tcBorders>
            <w:shd w:val="clear" w:color="auto" w:fill="auto"/>
            <w:noWrap/>
            <w:hideMark/>
          </w:tcPr>
          <w:p w14:paraId="3492E19D"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yes</w:t>
            </w:r>
          </w:p>
        </w:tc>
        <w:tc>
          <w:tcPr>
            <w:tcW w:w="1587" w:type="pct"/>
            <w:tcBorders>
              <w:top w:val="nil"/>
              <w:left w:val="nil"/>
              <w:bottom w:val="nil"/>
              <w:right w:val="nil"/>
            </w:tcBorders>
            <w:shd w:val="clear" w:color="auto" w:fill="auto"/>
            <w:noWrap/>
          </w:tcPr>
          <w:p w14:paraId="01E61796" w14:textId="77777777" w:rsidR="00CB7FC6" w:rsidRPr="00CB7FC6" w:rsidRDefault="00CB7FC6" w:rsidP="00015BF8">
            <w:pPr>
              <w:rPr>
                <w:rFonts w:ascii="Helvetica" w:eastAsia="Times New Roman" w:hAnsi="Helvetica" w:cs="Times New Roman"/>
                <w:color w:val="000000"/>
                <w:sz w:val="20"/>
                <w:szCs w:val="20"/>
              </w:rPr>
            </w:pPr>
          </w:p>
        </w:tc>
      </w:tr>
      <w:tr w:rsidR="00CB7FC6" w:rsidRPr="00CB7FC6" w14:paraId="6AA71465" w14:textId="77777777" w:rsidTr="00015BF8">
        <w:trPr>
          <w:trHeight w:val="300"/>
        </w:trPr>
        <w:tc>
          <w:tcPr>
            <w:tcW w:w="1348" w:type="pct"/>
            <w:tcBorders>
              <w:top w:val="nil"/>
              <w:left w:val="nil"/>
              <w:bottom w:val="nil"/>
              <w:right w:val="nil"/>
            </w:tcBorders>
            <w:shd w:val="clear" w:color="auto" w:fill="auto"/>
            <w:noWrap/>
            <w:hideMark/>
          </w:tcPr>
          <w:p w14:paraId="3295A2F0"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protein CREG1</w:t>
            </w:r>
          </w:p>
        </w:tc>
        <w:tc>
          <w:tcPr>
            <w:tcW w:w="1392" w:type="pct"/>
            <w:tcBorders>
              <w:top w:val="nil"/>
              <w:left w:val="nil"/>
              <w:bottom w:val="nil"/>
              <w:right w:val="nil"/>
            </w:tcBorders>
            <w:shd w:val="clear" w:color="auto" w:fill="auto"/>
            <w:noWrap/>
            <w:hideMark/>
          </w:tcPr>
          <w:p w14:paraId="319896F2"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PF13883|Pyridoxamine 5'-phosphate oxidase</w:t>
            </w:r>
          </w:p>
        </w:tc>
        <w:tc>
          <w:tcPr>
            <w:tcW w:w="673" w:type="pct"/>
            <w:tcBorders>
              <w:top w:val="nil"/>
              <w:left w:val="nil"/>
              <w:bottom w:val="nil"/>
              <w:right w:val="nil"/>
            </w:tcBorders>
            <w:shd w:val="clear" w:color="auto" w:fill="auto"/>
            <w:noWrap/>
            <w:hideMark/>
          </w:tcPr>
          <w:p w14:paraId="45E39FE0" w14:textId="77777777" w:rsidR="00CB7FC6" w:rsidRPr="00CB7FC6" w:rsidRDefault="00CB7FC6" w:rsidP="00015BF8">
            <w:pPr>
              <w:rPr>
                <w:rFonts w:ascii="Helvetica" w:eastAsia="Times New Roman" w:hAnsi="Helvetica" w:cs="Times New Roman"/>
                <w:sz w:val="20"/>
                <w:szCs w:val="20"/>
              </w:rPr>
            </w:pPr>
            <w:r w:rsidRPr="00CB7FC6">
              <w:rPr>
                <w:rFonts w:ascii="Helvetica" w:eastAsia="Times New Roman" w:hAnsi="Helvetica" w:cs="Times New Roman"/>
                <w:sz w:val="20"/>
                <w:szCs w:val="20"/>
              </w:rPr>
              <w:t>yes</w:t>
            </w:r>
          </w:p>
        </w:tc>
        <w:tc>
          <w:tcPr>
            <w:tcW w:w="1587" w:type="pct"/>
            <w:tcBorders>
              <w:top w:val="nil"/>
              <w:left w:val="nil"/>
              <w:bottom w:val="nil"/>
              <w:right w:val="nil"/>
            </w:tcBorders>
            <w:shd w:val="clear" w:color="auto" w:fill="auto"/>
            <w:noWrap/>
          </w:tcPr>
          <w:p w14:paraId="487925AC" w14:textId="77777777" w:rsidR="00CB7FC6" w:rsidRPr="00CB7FC6" w:rsidRDefault="00CB7FC6" w:rsidP="00015BF8">
            <w:pPr>
              <w:rPr>
                <w:rFonts w:ascii="Helvetica" w:eastAsia="Times New Roman" w:hAnsi="Helvetica" w:cs="Times New Roman"/>
                <w:sz w:val="20"/>
                <w:szCs w:val="20"/>
              </w:rPr>
            </w:pPr>
            <w:r w:rsidRPr="00CB7FC6">
              <w:rPr>
                <w:rFonts w:ascii="Helvetica" w:eastAsia="Times New Roman" w:hAnsi="Helvetica" w:cs="Times New Roman"/>
                <w:color w:val="000000"/>
                <w:sz w:val="20"/>
                <w:szCs w:val="20"/>
              </w:rPr>
              <w:t>Control of cell growth and apoptosis</w:t>
            </w:r>
          </w:p>
        </w:tc>
      </w:tr>
      <w:tr w:rsidR="00CB7FC6" w:rsidRPr="00CB7FC6" w14:paraId="3C8AAA02" w14:textId="77777777" w:rsidTr="00CB7FC6">
        <w:trPr>
          <w:trHeight w:val="300"/>
        </w:trPr>
        <w:tc>
          <w:tcPr>
            <w:tcW w:w="1348" w:type="pct"/>
            <w:tcBorders>
              <w:top w:val="nil"/>
              <w:left w:val="nil"/>
              <w:right w:val="nil"/>
            </w:tcBorders>
            <w:shd w:val="clear" w:color="auto" w:fill="auto"/>
            <w:noWrap/>
            <w:hideMark/>
          </w:tcPr>
          <w:p w14:paraId="26C64986"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cytochrome P450 4C1-like</w:t>
            </w:r>
          </w:p>
        </w:tc>
        <w:tc>
          <w:tcPr>
            <w:tcW w:w="1392" w:type="pct"/>
            <w:tcBorders>
              <w:top w:val="nil"/>
              <w:left w:val="nil"/>
              <w:right w:val="nil"/>
            </w:tcBorders>
            <w:shd w:val="clear" w:color="auto" w:fill="auto"/>
            <w:noWrap/>
            <w:hideMark/>
          </w:tcPr>
          <w:p w14:paraId="1FFF6390"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PF00067|Cytochrome P450</w:t>
            </w:r>
          </w:p>
        </w:tc>
        <w:tc>
          <w:tcPr>
            <w:tcW w:w="673" w:type="pct"/>
            <w:tcBorders>
              <w:top w:val="nil"/>
              <w:left w:val="nil"/>
              <w:right w:val="nil"/>
            </w:tcBorders>
            <w:shd w:val="clear" w:color="auto" w:fill="auto"/>
            <w:noWrap/>
            <w:hideMark/>
          </w:tcPr>
          <w:p w14:paraId="239B4289" w14:textId="77777777" w:rsidR="00CB7FC6" w:rsidRPr="00CB7FC6" w:rsidRDefault="00CB7FC6" w:rsidP="00015BF8">
            <w:pPr>
              <w:rPr>
                <w:rFonts w:ascii="Helvetica" w:eastAsia="Times New Roman" w:hAnsi="Helvetica" w:cs="Times New Roman"/>
                <w:sz w:val="20"/>
                <w:szCs w:val="20"/>
              </w:rPr>
            </w:pPr>
            <w:r w:rsidRPr="00CB7FC6">
              <w:rPr>
                <w:rFonts w:ascii="Helvetica" w:eastAsia="Times New Roman" w:hAnsi="Helvetica" w:cs="Times New Roman"/>
                <w:color w:val="000000"/>
                <w:sz w:val="20"/>
                <w:szCs w:val="20"/>
              </w:rPr>
              <w:t>no</w:t>
            </w:r>
          </w:p>
        </w:tc>
        <w:tc>
          <w:tcPr>
            <w:tcW w:w="1587" w:type="pct"/>
            <w:tcBorders>
              <w:top w:val="nil"/>
              <w:left w:val="nil"/>
              <w:right w:val="nil"/>
            </w:tcBorders>
            <w:shd w:val="clear" w:color="auto" w:fill="auto"/>
            <w:noWrap/>
          </w:tcPr>
          <w:p w14:paraId="16545697" w14:textId="29F58966"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 xml:space="preserve">JH interacting, starvation response </w:t>
            </w:r>
            <w:r w:rsidRPr="00CB7FC6">
              <w:rPr>
                <w:rFonts w:ascii="Helvetica" w:eastAsia="Times New Roman" w:hAnsi="Helvetica" w:cs="Times New Roman"/>
                <w:color w:val="000000"/>
                <w:sz w:val="20"/>
                <w:szCs w:val="20"/>
              </w:rPr>
              <w:fldChar w:fldCharType="begin" w:fldLock="1"/>
            </w:r>
            <w:r>
              <w:rPr>
                <w:rFonts w:ascii="Helvetica" w:eastAsia="Times New Roman" w:hAnsi="Helvetica" w:cs="Times New Roman"/>
                <w:color w:val="000000"/>
                <w:sz w:val="20"/>
                <w:szCs w:val="20"/>
              </w:rPr>
              <w:instrText>ADDIN CSL_CITATION {"citationItems":[{"id":"ITEM-1","itemData":{"DOI":"10.1016/S0965-1748(99)00034-X","ISSN":"0965-1748","abstract":"The regulation and pattern of gene expression for cytochrome P4504C1 was measured in the fat body of adult females of the cockroach, Blaberus discoidalis. The level of CYP4C1-mRNA was high at adult emergence but disappeared after 4 days of adult life. In starved females, CYP4C1-mRNA levels declined by day 4 but increased steadily thereafter; by 25 days, the levels were nearly twice those observed at eclosion. Both the rapid early disappearance of the transcript and the starvation-related increase failed to occur following decapitation. Allatectomy also prevented the disappearance of CYP4C1-mRNA at day 4, and treatment of decapitated females with methoprene (JHA) stimulated a 70% decrease in transcript within 24 h. Injection of synthetic Blaberus hypertrehalosemic hormone (HTH) increased CYP4C1-mRNA by six-fold in the fat body of both intact and decapitated females. CYP4C1-mRNA in the fat body of males did not respond to JHA treatment. The dynamics of CYP4C1-mRNA in the fat body of females could be explained based on an inhibition of CYP4C1 expression by JH that was overcome by HTH.","author":[{"dropping-particle":"","family":"Lu","given":"Kuang-Hui","non-dropping-particle":"","parse-names":false,"suffix":""},{"dropping-particle":"","family":"Bradfield","given":"James Y.","non-dropping-particle":"","parse-names":false,"suffix":""},{"dropping-particle":"","family":"Keeley","given":"Larry L.","non-dropping-particle":"","parse-names":false,"suffix":""}],"container-title":"Insect Biochemistry and Molecular Biology","id":"ITEM-1","issue":"8","issued":{"date-parts":[["1999","8","1"]]},"page":"667-673","publisher":"Pergamon","title":"Juvenile hormone inhibition of gene expression for cytochrome P4504C1 in adult females of the cockroach, Blaberus discoidalis","type":"article-journal","volume":"29"},"uris":["http://www.mendeley.com/documents/?uuid=ec2236d1-dd2f-362d-a2c5-5f2f9373c578"]}],"mendeley":{"formattedCitation":"(Lu &lt;i&gt;et al.&lt;/i&gt; 1999)","plainTextFormattedCitation":"(Lu et al. 1999)","previouslyFormattedCitation":"(&lt;span style=\"font-variant:small-caps;\"&gt;Lu&lt;/span&gt; &amp; al. 1999)"},"properties":{"noteIndex":0},"schema":"https://github.com/citation-style-language/schema/raw/master/csl-citation.json"}</w:instrText>
            </w:r>
            <w:r w:rsidRPr="00CB7FC6">
              <w:rPr>
                <w:rFonts w:ascii="Helvetica" w:eastAsia="Times New Roman" w:hAnsi="Helvetica" w:cs="Times New Roman"/>
                <w:smallCaps/>
                <w:color w:val="000000"/>
                <w:sz w:val="20"/>
                <w:szCs w:val="20"/>
              </w:rPr>
              <w:fldChar w:fldCharType="separate"/>
            </w:r>
            <w:r w:rsidRPr="00CB7FC6">
              <w:rPr>
                <w:rFonts w:ascii="Helvetica" w:eastAsia="Times New Roman" w:hAnsi="Helvetica" w:cs="Times New Roman"/>
                <w:noProof/>
                <w:color w:val="000000"/>
                <w:sz w:val="20"/>
                <w:szCs w:val="20"/>
              </w:rPr>
              <w:t xml:space="preserve">(Lu </w:t>
            </w:r>
            <w:r w:rsidRPr="00CB7FC6">
              <w:rPr>
                <w:rFonts w:ascii="Helvetica" w:eastAsia="Times New Roman" w:hAnsi="Helvetica" w:cs="Times New Roman"/>
                <w:i/>
                <w:noProof/>
                <w:color w:val="000000"/>
                <w:sz w:val="20"/>
                <w:szCs w:val="20"/>
              </w:rPr>
              <w:t>et al.</w:t>
            </w:r>
            <w:r w:rsidRPr="00CB7FC6">
              <w:rPr>
                <w:rFonts w:ascii="Helvetica" w:eastAsia="Times New Roman" w:hAnsi="Helvetica" w:cs="Times New Roman"/>
                <w:noProof/>
                <w:color w:val="000000"/>
                <w:sz w:val="20"/>
                <w:szCs w:val="20"/>
              </w:rPr>
              <w:t xml:space="preserve"> 1999)</w:t>
            </w:r>
            <w:r w:rsidRPr="00CB7FC6">
              <w:rPr>
                <w:rFonts w:ascii="Helvetica" w:eastAsia="Times New Roman" w:hAnsi="Helvetica" w:cs="Times New Roman"/>
                <w:color w:val="000000"/>
                <w:sz w:val="20"/>
                <w:szCs w:val="20"/>
              </w:rPr>
              <w:fldChar w:fldCharType="end"/>
            </w:r>
          </w:p>
        </w:tc>
      </w:tr>
      <w:tr w:rsidR="00CB7FC6" w:rsidRPr="00CB7FC6" w14:paraId="161C7036" w14:textId="77777777" w:rsidTr="00CB7FC6">
        <w:trPr>
          <w:trHeight w:val="300"/>
        </w:trPr>
        <w:tc>
          <w:tcPr>
            <w:tcW w:w="1348" w:type="pct"/>
            <w:tcBorders>
              <w:top w:val="nil"/>
              <w:left w:val="nil"/>
              <w:bottom w:val="single" w:sz="4" w:space="0" w:color="auto"/>
              <w:right w:val="nil"/>
            </w:tcBorders>
            <w:shd w:val="clear" w:color="auto" w:fill="auto"/>
            <w:noWrap/>
            <w:hideMark/>
          </w:tcPr>
          <w:p w14:paraId="2EA8EFAF"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 xml:space="preserve">WEB family protein At4g27595, </w:t>
            </w:r>
            <w:proofErr w:type="spellStart"/>
            <w:r w:rsidRPr="00CB7FC6">
              <w:rPr>
                <w:rFonts w:ascii="Helvetica" w:eastAsia="Times New Roman" w:hAnsi="Helvetica" w:cs="Times New Roman"/>
                <w:color w:val="000000"/>
                <w:sz w:val="20"/>
                <w:szCs w:val="20"/>
              </w:rPr>
              <w:t>chloroplastic</w:t>
            </w:r>
            <w:proofErr w:type="spellEnd"/>
          </w:p>
        </w:tc>
        <w:tc>
          <w:tcPr>
            <w:tcW w:w="1392" w:type="pct"/>
            <w:tcBorders>
              <w:top w:val="nil"/>
              <w:left w:val="nil"/>
              <w:bottom w:val="single" w:sz="4" w:space="0" w:color="auto"/>
              <w:right w:val="nil"/>
            </w:tcBorders>
            <w:shd w:val="clear" w:color="auto" w:fill="auto"/>
            <w:noWrap/>
            <w:hideMark/>
          </w:tcPr>
          <w:p w14:paraId="21FFE810"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NA</w:t>
            </w:r>
          </w:p>
        </w:tc>
        <w:tc>
          <w:tcPr>
            <w:tcW w:w="673" w:type="pct"/>
            <w:tcBorders>
              <w:top w:val="nil"/>
              <w:left w:val="nil"/>
              <w:bottom w:val="single" w:sz="4" w:space="0" w:color="auto"/>
              <w:right w:val="nil"/>
            </w:tcBorders>
            <w:shd w:val="clear" w:color="auto" w:fill="auto"/>
            <w:noWrap/>
            <w:hideMark/>
          </w:tcPr>
          <w:p w14:paraId="71767F55" w14:textId="77777777" w:rsidR="00CB7FC6" w:rsidRPr="00CB7FC6" w:rsidRDefault="00CB7FC6" w:rsidP="00015BF8">
            <w:pPr>
              <w:rPr>
                <w:rFonts w:ascii="Helvetica" w:eastAsia="Times New Roman" w:hAnsi="Helvetica" w:cs="Times New Roman"/>
                <w:color w:val="000000"/>
                <w:sz w:val="20"/>
                <w:szCs w:val="20"/>
              </w:rPr>
            </w:pPr>
            <w:r w:rsidRPr="00CB7FC6">
              <w:rPr>
                <w:rFonts w:ascii="Helvetica" w:eastAsia="Times New Roman" w:hAnsi="Helvetica" w:cs="Times New Roman"/>
                <w:color w:val="000000"/>
                <w:sz w:val="20"/>
                <w:szCs w:val="20"/>
              </w:rPr>
              <w:t>no</w:t>
            </w:r>
          </w:p>
        </w:tc>
        <w:tc>
          <w:tcPr>
            <w:tcW w:w="1587" w:type="pct"/>
            <w:tcBorders>
              <w:top w:val="nil"/>
              <w:left w:val="nil"/>
              <w:bottom w:val="single" w:sz="4" w:space="0" w:color="auto"/>
              <w:right w:val="nil"/>
            </w:tcBorders>
            <w:shd w:val="clear" w:color="auto" w:fill="auto"/>
            <w:noWrap/>
          </w:tcPr>
          <w:p w14:paraId="69FFD1B1" w14:textId="77777777" w:rsidR="00CB7FC6" w:rsidRPr="00CB7FC6" w:rsidRDefault="00CB7FC6" w:rsidP="00015BF8">
            <w:pPr>
              <w:rPr>
                <w:rFonts w:ascii="Helvetica" w:eastAsia="Times New Roman" w:hAnsi="Helvetica" w:cs="Times New Roman"/>
                <w:sz w:val="20"/>
                <w:szCs w:val="20"/>
              </w:rPr>
            </w:pPr>
            <w:r w:rsidRPr="00CB7FC6">
              <w:rPr>
                <w:rFonts w:ascii="Helvetica" w:eastAsia="Times New Roman" w:hAnsi="Helvetica" w:cs="Times New Roman"/>
                <w:sz w:val="20"/>
                <w:szCs w:val="20"/>
              </w:rPr>
              <w:t>Most BLAST results lacked meaningful annotations</w:t>
            </w:r>
          </w:p>
        </w:tc>
      </w:tr>
    </w:tbl>
    <w:p w14:paraId="24B143A0" w14:textId="2EAB8B70" w:rsidR="003A0FB8" w:rsidRDefault="00CB7FC6">
      <w:pPr>
        <w:rPr>
          <w:rFonts w:ascii="Helvetica" w:hAnsi="Helvetica"/>
          <w:sz w:val="20"/>
          <w:szCs w:val="20"/>
        </w:rPr>
      </w:pPr>
    </w:p>
    <w:p w14:paraId="061125BA" w14:textId="67F8E08F" w:rsidR="00CB7FC6" w:rsidRDefault="00CB7FC6">
      <w:pPr>
        <w:rPr>
          <w:rFonts w:ascii="Helvetica" w:hAnsi="Helvetica"/>
          <w:sz w:val="20"/>
          <w:szCs w:val="20"/>
        </w:rPr>
      </w:pPr>
    </w:p>
    <w:p w14:paraId="51CBCA41" w14:textId="77777777" w:rsidR="00CB7FC6" w:rsidRDefault="00CB7FC6">
      <w:pPr>
        <w:rPr>
          <w:rFonts w:ascii="Helvetica" w:hAnsi="Helvetica"/>
          <w:sz w:val="20"/>
          <w:szCs w:val="20"/>
        </w:rPr>
      </w:pPr>
    </w:p>
    <w:p w14:paraId="7C3CF006" w14:textId="49F38C3C" w:rsidR="00CB7FC6" w:rsidRPr="00CB7FC6" w:rsidRDefault="00CB7FC6" w:rsidP="00CB7FC6">
      <w:pPr>
        <w:widowControl w:val="0"/>
        <w:autoSpaceDE w:val="0"/>
        <w:autoSpaceDN w:val="0"/>
        <w:adjustRightInd w:val="0"/>
        <w:ind w:left="480" w:hanging="480"/>
        <w:rPr>
          <w:rFonts w:ascii="Times New Roman" w:hAnsi="Times New Roman" w:cs="Times New Roman"/>
          <w:noProof/>
          <w:sz w:val="24"/>
          <w:szCs w:val="24"/>
        </w:rPr>
      </w:pPr>
      <w:r w:rsidRPr="00CB7FC6">
        <w:rPr>
          <w:rFonts w:ascii="Times New Roman" w:hAnsi="Times New Roman" w:cs="Times New Roman"/>
          <w:sz w:val="24"/>
          <w:szCs w:val="24"/>
        </w:rPr>
        <w:fldChar w:fldCharType="begin" w:fldLock="1"/>
      </w:r>
      <w:r w:rsidRPr="00CB7FC6">
        <w:rPr>
          <w:rFonts w:ascii="Times New Roman" w:hAnsi="Times New Roman" w:cs="Times New Roman"/>
          <w:sz w:val="24"/>
          <w:szCs w:val="24"/>
        </w:rPr>
        <w:instrText xml:space="preserve">ADDIN Mendeley Bibliography CSL_BIBLIOGRAPHY </w:instrText>
      </w:r>
      <w:r w:rsidRPr="00CB7FC6">
        <w:rPr>
          <w:rFonts w:ascii="Times New Roman" w:hAnsi="Times New Roman" w:cs="Times New Roman"/>
          <w:sz w:val="24"/>
          <w:szCs w:val="24"/>
        </w:rPr>
        <w:fldChar w:fldCharType="separate"/>
      </w:r>
      <w:r w:rsidRPr="00CB7FC6">
        <w:rPr>
          <w:rFonts w:ascii="Times New Roman" w:hAnsi="Times New Roman" w:cs="Times New Roman"/>
          <w:noProof/>
          <w:sz w:val="24"/>
          <w:szCs w:val="24"/>
        </w:rPr>
        <w:t>Bateman, A., 2019 UniProt: a worldwide hub of protein knowledge. Nucleic Acids Res. 47: D506–D515.</w:t>
      </w:r>
    </w:p>
    <w:p w14:paraId="48D11EC6" w14:textId="77777777" w:rsidR="00CB7FC6" w:rsidRPr="00CB7FC6" w:rsidRDefault="00CB7FC6" w:rsidP="00CB7FC6">
      <w:pPr>
        <w:widowControl w:val="0"/>
        <w:autoSpaceDE w:val="0"/>
        <w:autoSpaceDN w:val="0"/>
        <w:adjustRightInd w:val="0"/>
        <w:ind w:left="480" w:hanging="480"/>
        <w:rPr>
          <w:rFonts w:ascii="Times New Roman" w:hAnsi="Times New Roman" w:cs="Times New Roman"/>
          <w:noProof/>
          <w:sz w:val="24"/>
          <w:szCs w:val="24"/>
        </w:rPr>
      </w:pPr>
      <w:r w:rsidRPr="00CB7FC6">
        <w:rPr>
          <w:rFonts w:ascii="Times New Roman" w:hAnsi="Times New Roman" w:cs="Times New Roman"/>
          <w:noProof/>
          <w:sz w:val="24"/>
          <w:szCs w:val="24"/>
        </w:rPr>
        <w:t xml:space="preserve">de Bekker, C., R. A. Ohm, R. G. Loreto, A. Sebastian, I. Albert </w:t>
      </w:r>
      <w:r w:rsidRPr="00CB7FC6">
        <w:rPr>
          <w:rFonts w:ascii="Times New Roman" w:hAnsi="Times New Roman" w:cs="Times New Roman"/>
          <w:i/>
          <w:iCs/>
          <w:noProof/>
          <w:sz w:val="24"/>
          <w:szCs w:val="24"/>
        </w:rPr>
        <w:t>et al.</w:t>
      </w:r>
      <w:r w:rsidRPr="00CB7FC6">
        <w:rPr>
          <w:rFonts w:ascii="Times New Roman" w:hAnsi="Times New Roman" w:cs="Times New Roman"/>
          <w:noProof/>
          <w:sz w:val="24"/>
          <w:szCs w:val="24"/>
        </w:rPr>
        <w:t>, 2015 Gene expression during zombie ant biting behavior reflects the complexity underlying fungal parasitic behavioral manipulation. BMC Genomics 16: 620.</w:t>
      </w:r>
    </w:p>
    <w:p w14:paraId="199670DE" w14:textId="77777777" w:rsidR="00CB7FC6" w:rsidRPr="00CB7FC6" w:rsidRDefault="00CB7FC6" w:rsidP="00CB7FC6">
      <w:pPr>
        <w:widowControl w:val="0"/>
        <w:autoSpaceDE w:val="0"/>
        <w:autoSpaceDN w:val="0"/>
        <w:adjustRightInd w:val="0"/>
        <w:ind w:left="480" w:hanging="480"/>
        <w:rPr>
          <w:rFonts w:ascii="Times New Roman" w:hAnsi="Times New Roman" w:cs="Times New Roman"/>
          <w:noProof/>
          <w:sz w:val="24"/>
          <w:szCs w:val="24"/>
        </w:rPr>
      </w:pPr>
      <w:r w:rsidRPr="00CB7FC6">
        <w:rPr>
          <w:rFonts w:ascii="Times New Roman" w:hAnsi="Times New Roman" w:cs="Times New Roman"/>
          <w:noProof/>
          <w:sz w:val="24"/>
          <w:szCs w:val="24"/>
        </w:rPr>
        <w:t xml:space="preserve">Finn, R. D., T. K. Attwood, P. C. Babbitt, A. Bateman, P. Bork </w:t>
      </w:r>
      <w:r w:rsidRPr="00CB7FC6">
        <w:rPr>
          <w:rFonts w:ascii="Times New Roman" w:hAnsi="Times New Roman" w:cs="Times New Roman"/>
          <w:i/>
          <w:iCs/>
          <w:noProof/>
          <w:sz w:val="24"/>
          <w:szCs w:val="24"/>
        </w:rPr>
        <w:t>et al.</w:t>
      </w:r>
      <w:r w:rsidRPr="00CB7FC6">
        <w:rPr>
          <w:rFonts w:ascii="Times New Roman" w:hAnsi="Times New Roman" w:cs="Times New Roman"/>
          <w:noProof/>
          <w:sz w:val="24"/>
          <w:szCs w:val="24"/>
        </w:rPr>
        <w:t>, 2017 InterPro in 2017––beyond protein family and domain annotations. Nucleic Acids Res. 45: D190–D199.</w:t>
      </w:r>
    </w:p>
    <w:p w14:paraId="3B74AD72" w14:textId="77777777" w:rsidR="00CB7FC6" w:rsidRPr="00CB7FC6" w:rsidRDefault="00CB7FC6" w:rsidP="00CB7FC6">
      <w:pPr>
        <w:widowControl w:val="0"/>
        <w:autoSpaceDE w:val="0"/>
        <w:autoSpaceDN w:val="0"/>
        <w:adjustRightInd w:val="0"/>
        <w:ind w:left="480" w:hanging="480"/>
        <w:rPr>
          <w:rFonts w:ascii="Times New Roman" w:hAnsi="Times New Roman" w:cs="Times New Roman"/>
          <w:noProof/>
          <w:sz w:val="24"/>
        </w:rPr>
      </w:pPr>
      <w:r w:rsidRPr="00CB7FC6">
        <w:rPr>
          <w:rFonts w:ascii="Times New Roman" w:hAnsi="Times New Roman" w:cs="Times New Roman"/>
          <w:noProof/>
          <w:sz w:val="24"/>
          <w:szCs w:val="24"/>
        </w:rPr>
        <w:t xml:space="preserve">Lu, K.-H., J. Y. Bradfield, and L. L. Keeley, 1999 Juvenile hormone inhibition of gene expression for cytochrome P4504C1 in adult females of the cockroach, </w:t>
      </w:r>
      <w:r w:rsidRPr="00CB7FC6">
        <w:rPr>
          <w:rFonts w:ascii="Times New Roman" w:hAnsi="Times New Roman" w:cs="Times New Roman"/>
          <w:i/>
          <w:iCs/>
          <w:noProof/>
          <w:sz w:val="24"/>
          <w:szCs w:val="24"/>
        </w:rPr>
        <w:t>Blaberus discoidalis</w:t>
      </w:r>
      <w:r w:rsidRPr="00CB7FC6">
        <w:rPr>
          <w:rFonts w:ascii="Times New Roman" w:hAnsi="Times New Roman" w:cs="Times New Roman"/>
          <w:noProof/>
          <w:sz w:val="24"/>
          <w:szCs w:val="24"/>
        </w:rPr>
        <w:t>. Insect Biochem. Mol. Biol. 29: 667–673.</w:t>
      </w:r>
    </w:p>
    <w:p w14:paraId="0528B4C0" w14:textId="44CD9854" w:rsidR="00CB7FC6" w:rsidRPr="00CB7FC6" w:rsidRDefault="00CB7FC6">
      <w:pPr>
        <w:rPr>
          <w:rFonts w:ascii="Helvetica" w:hAnsi="Helvetica"/>
          <w:sz w:val="20"/>
          <w:szCs w:val="20"/>
        </w:rPr>
      </w:pPr>
      <w:r w:rsidRPr="00CB7FC6">
        <w:rPr>
          <w:rFonts w:ascii="Times New Roman" w:hAnsi="Times New Roman" w:cs="Times New Roman"/>
          <w:sz w:val="24"/>
          <w:szCs w:val="24"/>
        </w:rPr>
        <w:fldChar w:fldCharType="end"/>
      </w:r>
    </w:p>
    <w:sectPr w:rsidR="00CB7FC6" w:rsidRPr="00CB7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C6"/>
    <w:rsid w:val="00100D39"/>
    <w:rsid w:val="001F6C92"/>
    <w:rsid w:val="00C51E51"/>
    <w:rsid w:val="00CB7FC6"/>
    <w:rsid w:val="00ED3E9F"/>
    <w:rsid w:val="00FC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5C14F"/>
  <w15:chartTrackingRefBased/>
  <w15:docId w15:val="{9B49BFA5-0945-41CC-B2B2-C537FCFA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FC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B7FC6"/>
    <w:pPr>
      <w:spacing w:after="200"/>
    </w:pPr>
    <w:rPr>
      <w:i/>
      <w:iCs/>
      <w:color w:val="44546A"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4AC995E12C049A50ADA15ED46708B" ma:contentTypeVersion="13" ma:contentTypeDescription="Create a new document." ma:contentTypeScope="" ma:versionID="32d674a3480478f3b9cce55a5649e1ce">
  <xsd:schema xmlns:xsd="http://www.w3.org/2001/XMLSchema" xmlns:xs="http://www.w3.org/2001/XMLSchema" xmlns:p="http://schemas.microsoft.com/office/2006/metadata/properties" xmlns:ns3="dfe49bc2-e275-45b8-b1dd-d32901820c2b" xmlns:ns4="b06aa914-8065-4367-ab83-69b72e08d20f" targetNamespace="http://schemas.microsoft.com/office/2006/metadata/properties" ma:root="true" ma:fieldsID="d496bce262024e12e4210b1b6f356c9b" ns3:_="" ns4:_="">
    <xsd:import namespace="dfe49bc2-e275-45b8-b1dd-d32901820c2b"/>
    <xsd:import namespace="b06aa914-8065-4367-ab83-69b72e08d2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49bc2-e275-45b8-b1dd-d32901820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aa914-8065-4367-ab83-69b72e08d2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9DE27-51BB-4ED9-A37E-6FE771399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49bc2-e275-45b8-b1dd-d32901820c2b"/>
    <ds:schemaRef ds:uri="b06aa914-8065-4367-ab83-69b72e08d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A6736B-5B48-40D9-9727-1D489FD796E2}">
  <ds:schemaRefs>
    <ds:schemaRef ds:uri="http://schemas.microsoft.com/sharepoint/v3/contenttype/forms"/>
  </ds:schemaRefs>
</ds:datastoreItem>
</file>

<file path=customXml/itemProps3.xml><?xml version="1.0" encoding="utf-8"?>
<ds:datastoreItem xmlns:ds="http://schemas.openxmlformats.org/officeDocument/2006/customXml" ds:itemID="{ED9FABBF-C3E6-4D3D-B95B-C88F2B998F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3209D7-FA8A-4DD0-A0D7-0F089918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4502</Words>
  <Characters>25667</Characters>
  <Application>Microsoft Office Word</Application>
  <DocSecurity>0</DocSecurity>
  <Lines>213</Lines>
  <Paragraphs>60</Paragraphs>
  <ScaleCrop>false</ScaleCrop>
  <Company/>
  <LinksUpToDate>false</LinksUpToDate>
  <CharactersWithSpaces>30109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Will</dc:creator>
  <cp:keywords/>
  <dc:description/>
  <cp:lastModifiedBy>Ian Will</cp:lastModifiedBy>
  <cp:revision>1</cp:revision>
  <dcterms:created xsi:type="dcterms:W3CDTF">2020-04-09T13:29:00Z</dcterms:created>
  <dcterms:modified xsi:type="dcterms:W3CDTF">2020-04-09T13:31:00Z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http://www.zotero.org/styles/g3</vt:lpwstr>
  </property>
  <property fmtid="{D5CDD505-2E9C-101B-9397-08002B2CF9AE}" pid="15" name="Mendeley Recent Style Name 6_1">
    <vt:lpwstr>G3: Genes, Genomes, Genetics</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http://www.zotero.org/styles/myrmecological-news</vt:lpwstr>
  </property>
  <property fmtid="{D5CDD505-2E9C-101B-9397-08002B2CF9AE}" pid="19" name="Mendeley Recent Style Name 8_1">
    <vt:lpwstr>Myrmecological News</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d72dbf56-2224-350f-abb6-54e24424711c</vt:lpwstr>
  </property>
  <property fmtid="{D5CDD505-2E9C-101B-9397-08002B2CF9AE}" pid="24" name="Mendeley Citation Style_1">
    <vt:lpwstr>http://www.zotero.org/styles/g3</vt:lpwstr>
  </property>
  <property fmtid="{D5CDD505-2E9C-101B-9397-08002B2CF9AE}" pid="25" name="ContentTypeId">
    <vt:lpwstr>0x010100DEF4AC995E12C049A50ADA15ED46708B</vt:lpwstr>
  </property>
</Properties>
</file>