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8C" w:rsidRPr="006E2C10" w:rsidRDefault="004F668C" w:rsidP="004F668C">
      <w:pPr>
        <w:spacing w:line="480" w:lineRule="auto"/>
        <w:jc w:val="both"/>
        <w:rPr>
          <w:rFonts w:ascii="Arial" w:hAnsi="Arial"/>
          <w:b/>
        </w:rPr>
      </w:pPr>
      <w:r>
        <w:rPr>
          <w:rFonts w:ascii="Arial" w:eastAsia="HGSMinchoE" w:hAnsi="Arial" w:cs="Arial"/>
          <w:b/>
        </w:rPr>
        <w:t>SUPPLEMENTARY</w:t>
      </w:r>
      <w:r w:rsidRPr="006E2C10">
        <w:rPr>
          <w:rFonts w:ascii="Arial" w:eastAsia="HGSMinchoE" w:hAnsi="Arial" w:cs="Arial"/>
          <w:b/>
        </w:rPr>
        <w:t xml:space="preserve"> FIGURE LEGENDS </w:t>
      </w:r>
    </w:p>
    <w:p w:rsidR="004F668C" w:rsidRDefault="004F668C" w:rsidP="004F668C">
      <w:pPr>
        <w:spacing w:line="480" w:lineRule="auto"/>
        <w:jc w:val="both"/>
        <w:rPr>
          <w:rFonts w:ascii="Arial" w:hAnsi="Arial"/>
          <w:b/>
        </w:rPr>
      </w:pPr>
    </w:p>
    <w:p w:rsidR="004F668C" w:rsidRPr="00B6128C" w:rsidRDefault="004F668C" w:rsidP="004F668C">
      <w:pPr>
        <w:spacing w:line="480" w:lineRule="auto"/>
        <w:jc w:val="both"/>
        <w:rPr>
          <w:rFonts w:ascii="Arial" w:hAnsi="Arial"/>
          <w:b/>
        </w:rPr>
      </w:pPr>
      <w:r w:rsidRPr="00B6128C">
        <w:rPr>
          <w:rFonts w:ascii="Arial" w:hAnsi="Arial"/>
          <w:b/>
        </w:rPr>
        <w:t xml:space="preserve">Supplemental Figure 1: </w:t>
      </w:r>
    </w:p>
    <w:p w:rsidR="004F668C" w:rsidRDefault="004F668C" w:rsidP="004F668C">
      <w:pPr>
        <w:spacing w:line="480" w:lineRule="auto"/>
        <w:jc w:val="both"/>
        <w:rPr>
          <w:rFonts w:ascii="Arial" w:hAnsi="Arial"/>
          <w:b/>
        </w:rPr>
      </w:pPr>
    </w:p>
    <w:p w:rsidR="004F668C" w:rsidRDefault="004F668C" w:rsidP="004F668C">
      <w:pPr>
        <w:spacing w:line="480" w:lineRule="auto"/>
        <w:jc w:val="both"/>
        <w:rPr>
          <w:rFonts w:ascii="Arial" w:hAnsi="Arial"/>
        </w:rPr>
      </w:pPr>
      <w:r w:rsidRPr="00B6128C">
        <w:rPr>
          <w:rFonts w:ascii="Arial" w:hAnsi="Arial"/>
        </w:rPr>
        <w:t xml:space="preserve">Cytoplasmic lysates from </w:t>
      </w:r>
      <w:r>
        <w:rPr>
          <w:rFonts w:ascii="Arial" w:hAnsi="Arial"/>
        </w:rPr>
        <w:t xml:space="preserve">larva </w:t>
      </w:r>
      <w:r w:rsidRPr="00B6128C">
        <w:rPr>
          <w:rFonts w:ascii="Arial" w:hAnsi="Arial"/>
          <w:b/>
        </w:rPr>
        <w:t xml:space="preserve">(A) </w:t>
      </w:r>
      <w:r w:rsidRPr="00B6128C">
        <w:rPr>
          <w:rFonts w:ascii="Arial" w:hAnsi="Arial"/>
        </w:rPr>
        <w:t xml:space="preserve">and </w:t>
      </w:r>
      <w:r>
        <w:rPr>
          <w:rFonts w:ascii="Arial" w:hAnsi="Arial"/>
        </w:rPr>
        <w:t xml:space="preserve">adults </w:t>
      </w:r>
      <w:r w:rsidRPr="00B6128C">
        <w:rPr>
          <w:rFonts w:ascii="Arial" w:hAnsi="Arial"/>
          <w:b/>
        </w:rPr>
        <w:t>(B)</w:t>
      </w:r>
      <w:r w:rsidRPr="00B6128C">
        <w:rPr>
          <w:rFonts w:ascii="Arial" w:hAnsi="Arial"/>
        </w:rPr>
        <w:t xml:space="preserve"> were fractionated through sucrose gradients. </w:t>
      </w:r>
      <w:r>
        <w:rPr>
          <w:rFonts w:ascii="Arial" w:hAnsi="Arial"/>
        </w:rPr>
        <w:t>C</w:t>
      </w:r>
      <w:r w:rsidRPr="00082989">
        <w:rPr>
          <w:rFonts w:ascii="Arial" w:hAnsi="Arial"/>
        </w:rPr>
        <w:t>ontinuous A254 reading</w:t>
      </w:r>
      <w:r>
        <w:rPr>
          <w:rFonts w:ascii="Arial" w:hAnsi="Arial"/>
        </w:rPr>
        <w:t>s</w:t>
      </w:r>
      <w:r w:rsidRPr="00082989">
        <w:rPr>
          <w:rFonts w:ascii="Arial" w:hAnsi="Arial"/>
        </w:rPr>
        <w:t xml:space="preserve"> from the fraction collector for one of the three biological replicates</w:t>
      </w:r>
      <w:r>
        <w:rPr>
          <w:rFonts w:ascii="Arial" w:hAnsi="Arial"/>
        </w:rPr>
        <w:t xml:space="preserve"> used in Figure 1D and 1E</w:t>
      </w:r>
      <w:r w:rsidRPr="00082989">
        <w:rPr>
          <w:rFonts w:ascii="Arial" w:hAnsi="Arial"/>
        </w:rPr>
        <w:t xml:space="preserve"> </w:t>
      </w:r>
      <w:r>
        <w:rPr>
          <w:rFonts w:ascii="Arial" w:hAnsi="Arial"/>
        </w:rPr>
        <w:t>are shown. Pooled fractions used for RNA extraction are highlighted as 40S/60S, monosome, low polysome and high polysome.</w:t>
      </w:r>
    </w:p>
    <w:p w:rsidR="004F668C" w:rsidRPr="00B6128C" w:rsidRDefault="004F668C" w:rsidP="004F668C">
      <w:pPr>
        <w:spacing w:line="480" w:lineRule="auto"/>
        <w:jc w:val="both"/>
        <w:rPr>
          <w:rFonts w:ascii="Arial" w:hAnsi="Arial"/>
        </w:rPr>
      </w:pPr>
    </w:p>
    <w:p w:rsidR="004F668C" w:rsidRDefault="004F668C" w:rsidP="004F668C">
      <w:pPr>
        <w:spacing w:line="480" w:lineRule="auto"/>
        <w:jc w:val="both"/>
        <w:rPr>
          <w:rFonts w:ascii="Arial" w:hAnsi="Arial"/>
          <w:b/>
        </w:rPr>
      </w:pPr>
      <w:r>
        <w:rPr>
          <w:rFonts w:ascii="Arial" w:hAnsi="Arial"/>
          <w:b/>
        </w:rPr>
        <w:t xml:space="preserve">Supplemental Figure 2: </w:t>
      </w:r>
    </w:p>
    <w:p w:rsidR="004F668C" w:rsidRDefault="004F668C" w:rsidP="004F668C">
      <w:pPr>
        <w:spacing w:line="480" w:lineRule="auto"/>
        <w:jc w:val="both"/>
        <w:rPr>
          <w:rFonts w:ascii="Arial" w:hAnsi="Arial"/>
          <w:b/>
        </w:rPr>
      </w:pPr>
      <w:r>
        <w:rPr>
          <w:rFonts w:ascii="Arial" w:hAnsi="Arial"/>
          <w:b/>
        </w:rPr>
        <w:t>(A)</w:t>
      </w:r>
      <w:r w:rsidRPr="009923C3">
        <w:rPr>
          <w:rFonts w:ascii="Arial" w:hAnsi="Arial"/>
          <w:b/>
        </w:rPr>
        <w:t xml:space="preserve"> </w:t>
      </w:r>
      <w:r w:rsidRPr="009923C3">
        <w:rPr>
          <w:rFonts w:ascii="Arial" w:hAnsi="Arial"/>
        </w:rPr>
        <w:t xml:space="preserve">Schematic depicting CRISPR-Cas9 editing </w:t>
      </w:r>
      <w:r>
        <w:rPr>
          <w:rFonts w:ascii="Arial" w:hAnsi="Arial"/>
        </w:rPr>
        <w:t xml:space="preserve">scheme to delete the </w:t>
      </w:r>
      <w:r w:rsidRPr="00CA1437">
        <w:rPr>
          <w:rFonts w:ascii="Arial" w:hAnsi="Arial"/>
          <w:i/>
        </w:rPr>
        <w:t>Adh</w:t>
      </w:r>
      <w:r w:rsidRPr="00CA1437">
        <w:rPr>
          <w:rFonts w:ascii="Arial" w:hAnsi="Arial"/>
          <w:i/>
          <w:vertAlign w:val="superscript"/>
        </w:rPr>
        <w:t>DIST</w:t>
      </w:r>
      <w:r w:rsidRPr="006B20E1">
        <w:rPr>
          <w:rFonts w:ascii="Arial" w:hAnsi="Arial"/>
          <w:i/>
          <w:vertAlign w:val="superscript"/>
        </w:rPr>
        <w:t xml:space="preserve"> </w:t>
      </w:r>
      <w:r>
        <w:rPr>
          <w:rFonts w:ascii="Arial" w:hAnsi="Arial"/>
        </w:rPr>
        <w:t xml:space="preserve">promoter region. A double-strand break (DSB) was made at the PAM site (green) using Cas9 nuclease (grey) and short guide RNA (sgRNA) (yellow), which binds ~730 base pairs (bp) upstream of the </w:t>
      </w:r>
      <w:r w:rsidRPr="0009410E">
        <w:rPr>
          <w:rFonts w:ascii="Arial" w:hAnsi="Arial"/>
        </w:rPr>
        <w:t>Adh</w:t>
      </w:r>
      <w:r w:rsidRPr="0009410E">
        <w:rPr>
          <w:rFonts w:ascii="Arial" w:hAnsi="Arial"/>
          <w:vertAlign w:val="superscript"/>
        </w:rPr>
        <w:t>DIST</w:t>
      </w:r>
      <w:r>
        <w:rPr>
          <w:rFonts w:ascii="Arial" w:hAnsi="Arial"/>
          <w:i/>
          <w:vertAlign w:val="superscript"/>
        </w:rPr>
        <w:t xml:space="preserve"> </w:t>
      </w:r>
      <w:r>
        <w:rPr>
          <w:rFonts w:ascii="Arial" w:hAnsi="Arial"/>
        </w:rPr>
        <w:t xml:space="preserve">transcription start site. The DNA region in red signifies the region that was deleted. The DNA region in black and brown signifies the DNA sequence flanking the deleted region. The blue arrow refers to the transcription start site of </w:t>
      </w:r>
      <w:r w:rsidRPr="0009410E">
        <w:rPr>
          <w:rFonts w:ascii="Arial" w:hAnsi="Arial"/>
        </w:rPr>
        <w:t>Adh</w:t>
      </w:r>
      <w:r w:rsidRPr="0009410E">
        <w:rPr>
          <w:rFonts w:ascii="Arial" w:hAnsi="Arial"/>
          <w:vertAlign w:val="superscript"/>
        </w:rPr>
        <w:t>DIST</w:t>
      </w:r>
      <w:r>
        <w:rPr>
          <w:rFonts w:ascii="Arial" w:hAnsi="Arial"/>
        </w:rPr>
        <w:t>. Figure is not drawn to scale.</w:t>
      </w:r>
    </w:p>
    <w:p w:rsidR="004F668C" w:rsidRPr="009923C3" w:rsidRDefault="004F668C" w:rsidP="004F668C">
      <w:pPr>
        <w:spacing w:line="480" w:lineRule="auto"/>
        <w:jc w:val="both"/>
        <w:rPr>
          <w:rFonts w:ascii="Arial" w:hAnsi="Arial"/>
          <w:b/>
        </w:rPr>
      </w:pPr>
      <w:r>
        <w:rPr>
          <w:rFonts w:ascii="Arial" w:hAnsi="Arial"/>
        </w:rPr>
        <w:t xml:space="preserve"> </w:t>
      </w:r>
      <w:r>
        <w:rPr>
          <w:rFonts w:ascii="Arial" w:hAnsi="Arial"/>
          <w:b/>
        </w:rPr>
        <w:t>(B</w:t>
      </w:r>
      <w:r w:rsidRPr="00A00101">
        <w:rPr>
          <w:rFonts w:ascii="Arial" w:hAnsi="Arial"/>
          <w:b/>
        </w:rPr>
        <w:t>)</w:t>
      </w:r>
      <w:r>
        <w:rPr>
          <w:rFonts w:ascii="Arial" w:hAnsi="Arial"/>
        </w:rPr>
        <w:t xml:space="preserve"> Expression </w:t>
      </w:r>
      <w:r w:rsidRPr="00384AA6">
        <w:rPr>
          <w:rFonts w:ascii="Arial" w:hAnsi="Arial"/>
        </w:rPr>
        <w:t xml:space="preserve">levels of </w:t>
      </w:r>
      <w:r w:rsidRPr="0009410E">
        <w:rPr>
          <w:rFonts w:ascii="Arial" w:hAnsi="Arial"/>
        </w:rPr>
        <w:t>Adh</w:t>
      </w:r>
      <w:r w:rsidRPr="0009410E">
        <w:rPr>
          <w:rFonts w:ascii="Arial" w:hAnsi="Arial"/>
          <w:vertAlign w:val="superscript"/>
        </w:rPr>
        <w:t>PROX</w:t>
      </w:r>
      <w:r w:rsidRPr="00384AA6">
        <w:rPr>
          <w:rFonts w:ascii="Arial" w:hAnsi="Arial"/>
        </w:rPr>
        <w:t xml:space="preserve"> were measured by RT-qPCR using isoform specific primers</w:t>
      </w:r>
      <w:r>
        <w:rPr>
          <w:rFonts w:ascii="Arial" w:hAnsi="Arial"/>
        </w:rPr>
        <w:t xml:space="preserve">. </w:t>
      </w:r>
      <w:r w:rsidRPr="00384AA6">
        <w:rPr>
          <w:rFonts w:ascii="Arial" w:hAnsi="Arial" w:cs="Arial"/>
        </w:rPr>
        <w:t>Data w</w:t>
      </w:r>
      <w:r>
        <w:rPr>
          <w:rFonts w:ascii="Arial" w:hAnsi="Arial" w:cs="Arial"/>
        </w:rPr>
        <w:t>ere</w:t>
      </w:r>
      <w:r w:rsidRPr="00384AA6">
        <w:rPr>
          <w:rFonts w:ascii="Arial" w:hAnsi="Arial" w:cs="Arial"/>
        </w:rPr>
        <w:t xml:space="preserve"> normalized to </w:t>
      </w:r>
      <w:r w:rsidRPr="00384AA6">
        <w:rPr>
          <w:rFonts w:ascii="Arial" w:eastAsia="HGSMinchoE" w:hAnsi="Arial" w:cs="Arial"/>
          <w:i/>
        </w:rPr>
        <w:t xml:space="preserve">αTUB84B </w:t>
      </w:r>
      <w:r w:rsidRPr="00384AA6">
        <w:rPr>
          <w:rFonts w:ascii="Arial" w:eastAsia="HGSMinchoE" w:hAnsi="Arial" w:cs="Arial"/>
        </w:rPr>
        <w:t>and then to wild</w:t>
      </w:r>
      <w:r>
        <w:rPr>
          <w:rFonts w:ascii="Arial" w:eastAsia="HGSMinchoE" w:hAnsi="Arial" w:cs="Arial"/>
        </w:rPr>
        <w:t>-</w:t>
      </w:r>
      <w:r w:rsidRPr="00384AA6">
        <w:rPr>
          <w:rFonts w:ascii="Arial" w:eastAsia="HGSMinchoE" w:hAnsi="Arial" w:cs="Arial"/>
        </w:rPr>
        <w:t xml:space="preserve">type </w:t>
      </w:r>
      <w:r>
        <w:rPr>
          <w:rFonts w:ascii="Arial" w:eastAsia="HGSMinchoE" w:hAnsi="Arial" w:cs="Arial"/>
        </w:rPr>
        <w:t>larvae</w:t>
      </w:r>
      <w:r w:rsidRPr="00384AA6">
        <w:rPr>
          <w:rFonts w:ascii="Arial" w:eastAsia="HGSMinchoE" w:hAnsi="Arial" w:cs="Arial"/>
        </w:rPr>
        <w:t xml:space="preserve"> levels to show fold change over wild</w:t>
      </w:r>
      <w:r>
        <w:rPr>
          <w:rFonts w:ascii="Arial" w:eastAsia="HGSMinchoE" w:hAnsi="Arial" w:cs="Arial"/>
        </w:rPr>
        <w:t xml:space="preserve"> </w:t>
      </w:r>
      <w:r w:rsidRPr="00384AA6">
        <w:rPr>
          <w:rFonts w:ascii="Arial" w:eastAsia="HGSMinchoE" w:hAnsi="Arial" w:cs="Arial"/>
        </w:rPr>
        <w:t>type (1X).</w:t>
      </w:r>
      <w:r>
        <w:rPr>
          <w:rFonts w:ascii="Arial" w:eastAsia="HGSMinchoE" w:hAnsi="Arial" w:cs="Arial"/>
        </w:rPr>
        <w:t xml:space="preserve"> </w:t>
      </w:r>
      <w:r>
        <w:rPr>
          <w:rFonts w:ascii="Arial" w:hAnsi="Arial"/>
        </w:rPr>
        <w:t>The mean of three</w:t>
      </w:r>
      <w:r w:rsidRPr="00085110">
        <w:rPr>
          <w:rFonts w:ascii="Arial" w:hAnsi="Arial"/>
        </w:rPr>
        <w:t xml:space="preserve"> independent </w:t>
      </w:r>
      <w:r>
        <w:rPr>
          <w:rFonts w:ascii="Arial" w:hAnsi="Arial"/>
        </w:rPr>
        <w:t xml:space="preserve">biological </w:t>
      </w:r>
      <w:r w:rsidRPr="00085110">
        <w:rPr>
          <w:rFonts w:ascii="Arial" w:hAnsi="Arial"/>
        </w:rPr>
        <w:t>rep</w:t>
      </w:r>
      <w:r>
        <w:rPr>
          <w:rFonts w:ascii="Arial" w:hAnsi="Arial"/>
        </w:rPr>
        <w:t xml:space="preserve">licates is shown. </w:t>
      </w:r>
      <w:r>
        <w:rPr>
          <w:rFonts w:ascii="Arial" w:eastAsia="HGSMinchoE" w:hAnsi="Arial" w:cs="Arial"/>
        </w:rPr>
        <w:t>Error bars represent SEM.</w:t>
      </w:r>
    </w:p>
    <w:p w:rsidR="004F668C" w:rsidRDefault="004F668C" w:rsidP="004F668C">
      <w:pPr>
        <w:spacing w:line="480" w:lineRule="auto"/>
        <w:jc w:val="both"/>
        <w:rPr>
          <w:rFonts w:ascii="Arial" w:hAnsi="Arial"/>
          <w:b/>
        </w:rPr>
      </w:pPr>
    </w:p>
    <w:p w:rsidR="004F668C" w:rsidRDefault="004F668C" w:rsidP="004F668C">
      <w:pPr>
        <w:spacing w:line="480" w:lineRule="auto"/>
        <w:jc w:val="both"/>
        <w:rPr>
          <w:rFonts w:ascii="Arial" w:hAnsi="Arial"/>
          <w:b/>
        </w:rPr>
      </w:pPr>
      <w:r>
        <w:rPr>
          <w:rFonts w:ascii="Arial" w:hAnsi="Arial"/>
          <w:b/>
        </w:rPr>
        <w:lastRenderedPageBreak/>
        <w:t>Supplemental Figure 3:</w:t>
      </w:r>
    </w:p>
    <w:p w:rsidR="004F668C" w:rsidRDefault="004F668C" w:rsidP="004F668C">
      <w:pPr>
        <w:spacing w:line="480" w:lineRule="auto"/>
        <w:jc w:val="both"/>
        <w:rPr>
          <w:rFonts w:ascii="Arial" w:hAnsi="Arial"/>
          <w:b/>
        </w:rPr>
      </w:pPr>
    </w:p>
    <w:p w:rsidR="004F668C" w:rsidRPr="00DE7B4F" w:rsidRDefault="004F668C" w:rsidP="004F668C">
      <w:pPr>
        <w:spacing w:line="480" w:lineRule="auto"/>
        <w:jc w:val="both"/>
        <w:rPr>
          <w:rFonts w:ascii="Arial" w:eastAsia="Times New Roman" w:hAnsi="Arial" w:cs="Arial"/>
        </w:rPr>
      </w:pPr>
      <w:r>
        <w:rPr>
          <w:rFonts w:ascii="Arial" w:hAnsi="Arial"/>
        </w:rPr>
        <w:t>Data from</w:t>
      </w:r>
      <w:r w:rsidRPr="00D318C3">
        <w:rPr>
          <w:rFonts w:ascii="Arial" w:hAnsi="Arial"/>
        </w:rPr>
        <w:t xml:space="preserve"> 5’ Rapid amplification of cDNA ends</w:t>
      </w:r>
      <w:r>
        <w:rPr>
          <w:rFonts w:ascii="Arial" w:hAnsi="Arial"/>
        </w:rPr>
        <w:t xml:space="preserve"> (5’ RACE) analysis for </w:t>
      </w:r>
      <w:r w:rsidRPr="0009410E">
        <w:rPr>
          <w:rFonts w:ascii="Arial" w:hAnsi="Arial"/>
        </w:rPr>
        <w:t>Adh</w:t>
      </w:r>
      <w:r w:rsidRPr="0009410E">
        <w:rPr>
          <w:rFonts w:ascii="Arial" w:hAnsi="Arial"/>
          <w:vertAlign w:val="superscript"/>
        </w:rPr>
        <w:t>PROX</w:t>
      </w:r>
      <w:r>
        <w:rPr>
          <w:rFonts w:ascii="Arial" w:hAnsi="Arial"/>
        </w:rPr>
        <w:t xml:space="preserve">, </w:t>
      </w:r>
      <w:r w:rsidRPr="0009410E">
        <w:rPr>
          <w:rFonts w:ascii="Arial" w:hAnsi="Arial"/>
        </w:rPr>
        <w:t>Adh</w:t>
      </w:r>
      <w:r w:rsidRPr="0009410E">
        <w:rPr>
          <w:rFonts w:ascii="Arial" w:hAnsi="Arial"/>
          <w:vertAlign w:val="superscript"/>
        </w:rPr>
        <w:t>DIST</w:t>
      </w:r>
      <w:r>
        <w:rPr>
          <w:rFonts w:ascii="Arial" w:hAnsi="Arial"/>
        </w:rPr>
        <w:t xml:space="preserve">, and </w:t>
      </w:r>
      <w:r w:rsidRPr="0009410E">
        <w:rPr>
          <w:rFonts w:ascii="Arial" w:hAnsi="Arial"/>
        </w:rPr>
        <w:t>Adh</w:t>
      </w:r>
      <w:r w:rsidRPr="0009410E">
        <w:rPr>
          <w:rFonts w:ascii="Arial" w:hAnsi="Arial"/>
          <w:vertAlign w:val="superscript"/>
        </w:rPr>
        <w:t>UAS</w:t>
      </w:r>
      <w:r>
        <w:rPr>
          <w:rFonts w:ascii="Arial" w:hAnsi="Arial"/>
        </w:rPr>
        <w:t xml:space="preserve">. At the top are diagrams of the wild-type </w:t>
      </w:r>
      <w:r>
        <w:rPr>
          <w:rFonts w:ascii="Arial" w:hAnsi="Arial"/>
          <w:i/>
        </w:rPr>
        <w:t>Adh</w:t>
      </w:r>
      <w:r>
        <w:rPr>
          <w:rFonts w:ascii="Arial" w:hAnsi="Arial"/>
        </w:rPr>
        <w:t xml:space="preserve"> locus and the </w:t>
      </w:r>
      <w:r>
        <w:rPr>
          <w:rFonts w:ascii="Arial" w:hAnsi="Arial"/>
          <w:i/>
        </w:rPr>
        <w:t>Adh</w:t>
      </w:r>
      <w:r>
        <w:rPr>
          <w:rFonts w:ascii="Arial" w:hAnsi="Arial"/>
          <w:i/>
          <w:vertAlign w:val="superscript"/>
        </w:rPr>
        <w:t>UAS</w:t>
      </w:r>
      <w:r>
        <w:rPr>
          <w:rFonts w:ascii="Arial" w:hAnsi="Arial"/>
        </w:rPr>
        <w:t xml:space="preserve"> locus with the GAL4/UAS induction system</w:t>
      </w:r>
      <w:r>
        <w:rPr>
          <w:rFonts w:ascii="Arial" w:hAnsi="Arial"/>
          <w:i/>
        </w:rPr>
        <w:t>.</w:t>
      </w:r>
      <w:r>
        <w:rPr>
          <w:rFonts w:ascii="Arial" w:hAnsi="Arial"/>
        </w:rPr>
        <w:t xml:space="preserve"> At the </w:t>
      </w:r>
      <w:r>
        <w:rPr>
          <w:rFonts w:ascii="Arial" w:hAnsi="Arial"/>
          <w:i/>
        </w:rPr>
        <w:t>Adh</w:t>
      </w:r>
      <w:r>
        <w:rPr>
          <w:rFonts w:ascii="Arial" w:hAnsi="Arial"/>
          <w:i/>
          <w:vertAlign w:val="superscript"/>
        </w:rPr>
        <w:t xml:space="preserve">UAS </w:t>
      </w:r>
      <w:r>
        <w:rPr>
          <w:rFonts w:ascii="Arial" w:hAnsi="Arial"/>
        </w:rPr>
        <w:t xml:space="preserve">locus, </w:t>
      </w:r>
      <w:r w:rsidRPr="00EF0790">
        <w:rPr>
          <w:rFonts w:ascii="Arial" w:hAnsi="Arial"/>
        </w:rPr>
        <w:t>10 consecutive GAL4 bind</w:t>
      </w:r>
      <w:r>
        <w:rPr>
          <w:rFonts w:ascii="Arial" w:hAnsi="Arial"/>
        </w:rPr>
        <w:t>ing</w:t>
      </w:r>
      <w:r w:rsidRPr="00EF0790">
        <w:rPr>
          <w:rFonts w:ascii="Arial" w:hAnsi="Arial"/>
        </w:rPr>
        <w:t xml:space="preserve"> sites (UAS</w:t>
      </w:r>
      <w:r>
        <w:rPr>
          <w:rFonts w:ascii="Arial" w:hAnsi="Arial"/>
        </w:rPr>
        <w:t xml:space="preserve">) (shown in yellow) are placed immediately upstream of the </w:t>
      </w:r>
      <w:r w:rsidRPr="0009410E">
        <w:rPr>
          <w:rFonts w:ascii="Arial" w:hAnsi="Arial"/>
        </w:rPr>
        <w:t>Adh</w:t>
      </w:r>
      <w:r w:rsidRPr="0009410E">
        <w:rPr>
          <w:rFonts w:ascii="Arial" w:hAnsi="Arial"/>
          <w:vertAlign w:val="superscript"/>
        </w:rPr>
        <w:t>DIS</w:t>
      </w:r>
      <w:r>
        <w:rPr>
          <w:rFonts w:ascii="Arial" w:hAnsi="Arial"/>
          <w:i/>
          <w:vertAlign w:val="superscript"/>
        </w:rPr>
        <w:t xml:space="preserve">T </w:t>
      </w:r>
      <w:r>
        <w:rPr>
          <w:rFonts w:ascii="Arial" w:hAnsi="Arial"/>
        </w:rPr>
        <w:t xml:space="preserve">TSS followed by the minimal </w:t>
      </w:r>
      <w:r>
        <w:rPr>
          <w:rFonts w:ascii="Arial" w:hAnsi="Arial"/>
          <w:i/>
        </w:rPr>
        <w:t>hsp</w:t>
      </w:r>
      <w:r w:rsidRPr="009F334F">
        <w:rPr>
          <w:rFonts w:ascii="Arial" w:hAnsi="Arial"/>
          <w:i/>
        </w:rPr>
        <w:t>70</w:t>
      </w:r>
      <w:r>
        <w:rPr>
          <w:rFonts w:ascii="Arial" w:hAnsi="Arial"/>
        </w:rPr>
        <w:t xml:space="preserve"> promoter (black). Coding (grey) and non-coding (white) exons are shown. </w:t>
      </w:r>
      <w:r>
        <w:rPr>
          <w:rFonts w:ascii="Arial" w:hAnsi="Arial" w:cs="Arial"/>
        </w:rPr>
        <w:t xml:space="preserve">Arrows represent TSSs of </w:t>
      </w:r>
      <w:r w:rsidRPr="0009410E">
        <w:rPr>
          <w:rFonts w:ascii="Arial" w:hAnsi="Arial"/>
        </w:rPr>
        <w:t>Adh</w:t>
      </w:r>
      <w:r w:rsidRPr="0009410E">
        <w:rPr>
          <w:rFonts w:ascii="Arial" w:hAnsi="Arial"/>
          <w:vertAlign w:val="superscript"/>
        </w:rPr>
        <w:t>PROX</w:t>
      </w:r>
      <w:r>
        <w:rPr>
          <w:rFonts w:ascii="Arial" w:hAnsi="Arial"/>
          <w:i/>
          <w:vertAlign w:val="superscript"/>
        </w:rPr>
        <w:t xml:space="preserve"> </w:t>
      </w:r>
      <w:r>
        <w:rPr>
          <w:rFonts w:ascii="Arial" w:hAnsi="Arial"/>
        </w:rPr>
        <w:t xml:space="preserve">(orange), </w:t>
      </w:r>
      <w:r w:rsidRPr="0009410E">
        <w:rPr>
          <w:rFonts w:ascii="Arial" w:hAnsi="Arial"/>
        </w:rPr>
        <w:t>Adh</w:t>
      </w:r>
      <w:r w:rsidRPr="0009410E">
        <w:rPr>
          <w:rFonts w:ascii="Arial" w:hAnsi="Arial"/>
          <w:vertAlign w:val="superscript"/>
        </w:rPr>
        <w:t>DIST</w:t>
      </w:r>
      <w:r>
        <w:rPr>
          <w:rFonts w:ascii="Arial" w:hAnsi="Arial"/>
          <w:i/>
          <w:vertAlign w:val="superscript"/>
        </w:rPr>
        <w:t xml:space="preserve"> </w:t>
      </w:r>
      <w:r>
        <w:rPr>
          <w:rFonts w:ascii="Arial" w:hAnsi="Arial"/>
        </w:rPr>
        <w:t xml:space="preserve">(blue) and </w:t>
      </w:r>
      <w:r w:rsidRPr="0009410E">
        <w:rPr>
          <w:rFonts w:ascii="Arial" w:hAnsi="Arial"/>
        </w:rPr>
        <w:t>Adh</w:t>
      </w:r>
      <w:r>
        <w:rPr>
          <w:rFonts w:ascii="Arial" w:hAnsi="Arial"/>
          <w:vertAlign w:val="superscript"/>
        </w:rPr>
        <w:t>DIST*</w:t>
      </w:r>
      <w:r>
        <w:rPr>
          <w:rFonts w:ascii="Arial" w:hAnsi="Arial" w:cs="Arial"/>
        </w:rPr>
        <w:t xml:space="preserve"> (light blue). </w:t>
      </w:r>
      <w:r>
        <w:rPr>
          <w:rFonts w:ascii="Arial" w:hAnsi="Arial"/>
        </w:rPr>
        <w:t xml:space="preserve">Numbers below the </w:t>
      </w:r>
      <w:r>
        <w:rPr>
          <w:rFonts w:ascii="Arial" w:hAnsi="Arial"/>
          <w:i/>
        </w:rPr>
        <w:t>Adh</w:t>
      </w:r>
      <w:r>
        <w:rPr>
          <w:rFonts w:ascii="Arial" w:hAnsi="Arial"/>
        </w:rPr>
        <w:t xml:space="preserve"> locus refer to distance in base pairs (bp) from the </w:t>
      </w:r>
      <w:r w:rsidRPr="0009410E">
        <w:rPr>
          <w:rFonts w:ascii="Arial" w:hAnsi="Arial"/>
        </w:rPr>
        <w:t>Adh</w:t>
      </w:r>
      <w:r w:rsidRPr="0009410E">
        <w:rPr>
          <w:rFonts w:ascii="Arial" w:hAnsi="Arial"/>
          <w:vertAlign w:val="superscript"/>
        </w:rPr>
        <w:t>PROX</w:t>
      </w:r>
      <w:r>
        <w:rPr>
          <w:rFonts w:ascii="Arial" w:hAnsi="Arial"/>
          <w:i/>
          <w:vertAlign w:val="superscript"/>
        </w:rPr>
        <w:t xml:space="preserve"> </w:t>
      </w:r>
      <w:r>
        <w:rPr>
          <w:rFonts w:ascii="Arial" w:hAnsi="Arial"/>
        </w:rPr>
        <w:t xml:space="preserve">TSS. Diagrams for each isoform’s mRNA transcript are shown above the sequence results. Genomic DNA sequence is bolded with aligned transcript sequences listed below.  Eight clones were analyzed and sequenced for each transcript isoform; successful sequencing reactions are shown. </w:t>
      </w:r>
    </w:p>
    <w:p w:rsidR="00B80932" w:rsidRDefault="00B80932">
      <w:bookmarkStart w:id="0" w:name="_GoBack"/>
      <w:bookmarkEnd w:id="0"/>
    </w:p>
    <w:sectPr w:rsidR="00B80932" w:rsidSect="00D83F2C">
      <w:footerReference w:type="even" r:id="rId5"/>
      <w:footerReference w:type="default" r:id="rId6"/>
      <w:pgSz w:w="12240" w:h="15840"/>
      <w:pgMar w:top="1440" w:right="1440" w:bottom="1440" w:left="144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GSMinchoE">
    <w:charset w:val="80"/>
    <w:family w:val="roman"/>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29" w:rsidRDefault="004F668C" w:rsidP="00C14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829" w:rsidRDefault="004F66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29" w:rsidRPr="002D6550" w:rsidRDefault="004F668C" w:rsidP="00C143F1">
    <w:pPr>
      <w:pStyle w:val="Footer"/>
      <w:framePr w:wrap="around" w:vAnchor="text" w:hAnchor="margin" w:xAlign="center" w:y="1"/>
      <w:rPr>
        <w:rStyle w:val="PageNumber"/>
        <w:rFonts w:ascii="Arial" w:hAnsi="Arial" w:cs="Arial"/>
      </w:rPr>
    </w:pPr>
    <w:r w:rsidRPr="002D6550">
      <w:rPr>
        <w:rStyle w:val="PageNumber"/>
        <w:rFonts w:ascii="Arial" w:hAnsi="Arial" w:cs="Arial"/>
      </w:rPr>
      <w:fldChar w:fldCharType="begin"/>
    </w:r>
    <w:r w:rsidRPr="002D6550">
      <w:rPr>
        <w:rStyle w:val="PageNumber"/>
        <w:rFonts w:ascii="Arial" w:hAnsi="Arial" w:cs="Arial"/>
      </w:rPr>
      <w:instrText xml:space="preserve">PAGE  </w:instrText>
    </w:r>
    <w:r w:rsidRPr="002D6550">
      <w:rPr>
        <w:rStyle w:val="PageNumber"/>
        <w:rFonts w:ascii="Arial" w:hAnsi="Arial" w:cs="Arial"/>
      </w:rPr>
      <w:fldChar w:fldCharType="separate"/>
    </w:r>
    <w:r>
      <w:rPr>
        <w:rStyle w:val="PageNumber"/>
        <w:rFonts w:ascii="Arial" w:hAnsi="Arial" w:cs="Arial"/>
        <w:noProof/>
      </w:rPr>
      <w:t>1</w:t>
    </w:r>
    <w:r w:rsidRPr="002D6550">
      <w:rPr>
        <w:rStyle w:val="PageNumber"/>
        <w:rFonts w:ascii="Arial" w:hAnsi="Arial" w:cs="Arial"/>
      </w:rPr>
      <w:fldChar w:fldCharType="end"/>
    </w:r>
  </w:p>
  <w:p w:rsidR="00EC2829" w:rsidRDefault="004F668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8C"/>
    <w:rsid w:val="004F668C"/>
    <w:rsid w:val="00B8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A8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668C"/>
    <w:pPr>
      <w:tabs>
        <w:tab w:val="center" w:pos="4320"/>
        <w:tab w:val="right" w:pos="8640"/>
      </w:tabs>
    </w:pPr>
  </w:style>
  <w:style w:type="character" w:customStyle="1" w:styleId="FooterChar">
    <w:name w:val="Footer Char"/>
    <w:basedOn w:val="DefaultParagraphFont"/>
    <w:link w:val="Footer"/>
    <w:uiPriority w:val="99"/>
    <w:rsid w:val="004F668C"/>
  </w:style>
  <w:style w:type="character" w:styleId="PageNumber">
    <w:name w:val="page number"/>
    <w:basedOn w:val="DefaultParagraphFont"/>
    <w:uiPriority w:val="99"/>
    <w:semiHidden/>
    <w:unhideWhenUsed/>
    <w:rsid w:val="004F668C"/>
  </w:style>
  <w:style w:type="character" w:styleId="LineNumber">
    <w:name w:val="line number"/>
    <w:basedOn w:val="DefaultParagraphFont"/>
    <w:uiPriority w:val="99"/>
    <w:semiHidden/>
    <w:unhideWhenUsed/>
    <w:rsid w:val="004F66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668C"/>
    <w:pPr>
      <w:tabs>
        <w:tab w:val="center" w:pos="4320"/>
        <w:tab w:val="right" w:pos="8640"/>
      </w:tabs>
    </w:pPr>
  </w:style>
  <w:style w:type="character" w:customStyle="1" w:styleId="FooterChar">
    <w:name w:val="Footer Char"/>
    <w:basedOn w:val="DefaultParagraphFont"/>
    <w:link w:val="Footer"/>
    <w:uiPriority w:val="99"/>
    <w:rsid w:val="004F668C"/>
  </w:style>
  <w:style w:type="character" w:styleId="PageNumber">
    <w:name w:val="page number"/>
    <w:basedOn w:val="DefaultParagraphFont"/>
    <w:uiPriority w:val="99"/>
    <w:semiHidden/>
    <w:unhideWhenUsed/>
    <w:rsid w:val="004F668C"/>
  </w:style>
  <w:style w:type="character" w:styleId="LineNumber">
    <w:name w:val="line number"/>
    <w:basedOn w:val="DefaultParagraphFont"/>
    <w:uiPriority w:val="99"/>
    <w:semiHidden/>
    <w:unhideWhenUsed/>
    <w:rsid w:val="004F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Elcin Unal</dc:creator>
  <cp:keywords/>
  <dc:description/>
  <cp:lastModifiedBy>Elcin Unal</cp:lastModifiedBy>
  <cp:revision>1</cp:revision>
  <dcterms:created xsi:type="dcterms:W3CDTF">2020-03-24T20:22:00Z</dcterms:created>
  <dcterms:modified xsi:type="dcterms:W3CDTF">2020-03-24T20:23:00Z</dcterms:modified>
</cp:coreProperties>
</file>