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7523" w14:textId="2169F798" w:rsidR="009312A1" w:rsidRPr="009312A1" w:rsidRDefault="009312A1" w:rsidP="009312A1">
      <w:pPr>
        <w:spacing w:before="0" w:beforeAutospacing="0" w:after="200" w:afterAutospacing="0" w:line="240" w:lineRule="auto"/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</w:pPr>
      <w:bookmarkStart w:id="0" w:name="_Ref13667879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Figure S </w:t>
      </w:r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>1</w:t>
      </w:r>
      <w:bookmarkEnd w:id="0"/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 xml:space="preserve"> Mean genotypic value across generations for different genetic models and magnitudes. </w:t>
      </w:r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>In each subplot, the additive scenario (A) was included for reference (i.e. magnitude “none”).</w:t>
      </w:r>
    </w:p>
    <w:p w14:paraId="01D16A47" w14:textId="77777777" w:rsidR="009312A1" w:rsidRPr="009312A1" w:rsidRDefault="009312A1" w:rsidP="009312A1">
      <w:pPr>
        <w:spacing w:before="0" w:beforeAutospacing="0" w:after="160" w:afterAutospacing="0" w:line="480" w:lineRule="auto"/>
        <w:rPr>
          <w:rFonts w:ascii="Calibri" w:eastAsia="Calibri" w:hAnsi="Calibri" w:cs="Times New Roman"/>
          <w:sz w:val="24"/>
          <w:lang w:val="en-AU"/>
        </w:rPr>
      </w:pPr>
    </w:p>
    <w:p w14:paraId="59E6DFDC" w14:textId="32DB74EC" w:rsidR="009312A1" w:rsidRPr="009312A1" w:rsidRDefault="009312A1" w:rsidP="009312A1">
      <w:pPr>
        <w:spacing w:before="0" w:beforeAutospacing="0" w:after="200" w:afterAutospacing="0" w:line="240" w:lineRule="auto"/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</w:pPr>
      <w:bookmarkStart w:id="1" w:name="_Ref13667910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Figure S </w:t>
      </w:r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>2</w:t>
      </w:r>
      <w:bookmarkEnd w:id="1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 Loss of additive genetic variance over time under different genetic models and magnitudes. The dotted line represents the additive genetic variance under an additive model.</w:t>
      </w:r>
    </w:p>
    <w:p w14:paraId="0926F25D" w14:textId="77777777" w:rsidR="009312A1" w:rsidRPr="009312A1" w:rsidRDefault="009312A1" w:rsidP="009312A1">
      <w:pPr>
        <w:spacing w:before="0" w:beforeAutospacing="0" w:after="160" w:afterAutospacing="0" w:line="480" w:lineRule="auto"/>
        <w:rPr>
          <w:rFonts w:ascii="Calibri" w:eastAsia="Calibri" w:hAnsi="Calibri" w:cs="Times New Roman"/>
          <w:sz w:val="24"/>
          <w:lang w:val="en-AU"/>
        </w:rPr>
      </w:pPr>
    </w:p>
    <w:p w14:paraId="362C926F" w14:textId="603BF9E9" w:rsidR="009312A1" w:rsidRPr="009312A1" w:rsidRDefault="009312A1" w:rsidP="009312A1">
      <w:pPr>
        <w:spacing w:before="0" w:beforeAutospacing="0" w:after="200" w:afterAutospacing="0" w:line="240" w:lineRule="auto"/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</w:pPr>
      <w:bookmarkStart w:id="2" w:name="_Ref14277206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Figure S </w:t>
      </w:r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>3</w:t>
      </w:r>
      <w:bookmarkEnd w:id="2"/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 xml:space="preserve"> Relationship between the fraction of inital non-additive variance (i.e. sum of dominance and epistatic variance divided by the total genetic variance in generation 1) and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/>
                <w:color w:val="000000"/>
                <w:sz w:val="18"/>
                <w:szCs w:val="18"/>
                <w:lang w:val="en-AU"/>
              </w:rPr>
            </m:ctrlPr>
          </m:sSubPr>
          <m:e>
            <m:r>
              <w:rPr>
                <w:rFonts w:ascii="Cambria Math" w:eastAsia="Calibri" w:hAnsi="Cambria Math" w:cs="Times New Roman"/>
                <w:noProof/>
                <w:color w:val="000000"/>
                <w:sz w:val="18"/>
                <w:szCs w:val="18"/>
                <w:lang w:val="en-AU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noProof/>
                <w:color w:val="000000"/>
                <w:sz w:val="18"/>
                <w:szCs w:val="18"/>
                <w:lang w:val="en-AU"/>
              </w:rPr>
              <m:t>g</m:t>
            </m:r>
          </m:sub>
        </m:sSub>
      </m:oMath>
      <w:r w:rsidRPr="009312A1">
        <w:rPr>
          <w:rFonts w:ascii="Calibri" w:eastAsia="Times New Roman" w:hAnsi="Calibri" w:cs="Times New Roman"/>
          <w:i/>
          <w:iCs/>
          <w:noProof/>
          <w:color w:val="000000"/>
          <w:sz w:val="18"/>
          <w:szCs w:val="18"/>
          <w:lang w:val="en-AU"/>
        </w:rPr>
        <w:t xml:space="preserve"> in generation 50, for all scenarios.</w:t>
      </w:r>
    </w:p>
    <w:p w14:paraId="66FA6C16" w14:textId="77777777" w:rsidR="009312A1" w:rsidRPr="009312A1" w:rsidRDefault="009312A1" w:rsidP="009312A1">
      <w:pPr>
        <w:spacing w:before="0" w:beforeAutospacing="0" w:after="160" w:afterAutospacing="0" w:line="480" w:lineRule="auto"/>
        <w:rPr>
          <w:rFonts w:ascii="Calibri" w:eastAsia="Calibri" w:hAnsi="Calibri" w:cs="Times New Roman"/>
          <w:sz w:val="24"/>
          <w:lang w:val="en-AU"/>
        </w:rPr>
      </w:pPr>
    </w:p>
    <w:p w14:paraId="301177F0" w14:textId="72B3C400" w:rsidR="009312A1" w:rsidRPr="009312A1" w:rsidRDefault="009312A1" w:rsidP="009312A1">
      <w:pPr>
        <w:spacing w:before="0" w:beforeAutospacing="0" w:after="200" w:afterAutospacing="0" w:line="240" w:lineRule="auto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n-AU"/>
        </w:rPr>
      </w:pPr>
      <w:bookmarkStart w:id="3" w:name="_Ref4596746"/>
      <w:bookmarkStart w:id="4" w:name="_Ref535589010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Figure S </w:t>
      </w:r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>4</w:t>
      </w:r>
      <w:bookmarkEnd w:id="3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 Effect of difference in allele frequency between two populations at locus 2 (x-axis) on the difference in average effects at locus 1 (left column) and at locus 2 (right column). </w:t>
      </w:r>
      <w:r w:rsidRPr="009312A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n-AU"/>
        </w:rPr>
        <w:t>Colours of lines indicate the epistatic interaction model.</w:t>
      </w:r>
    </w:p>
    <w:p w14:paraId="2932F3E7" w14:textId="77777777" w:rsidR="009312A1" w:rsidRPr="009312A1" w:rsidRDefault="009312A1" w:rsidP="009312A1">
      <w:pPr>
        <w:spacing w:before="0" w:beforeAutospacing="0" w:after="160" w:afterAutospacing="0" w:line="480" w:lineRule="auto"/>
        <w:rPr>
          <w:rFonts w:ascii="Calibri" w:eastAsia="Calibri" w:hAnsi="Calibri" w:cs="Times New Roman"/>
          <w:sz w:val="24"/>
          <w:lang w:val="en-AU"/>
        </w:rPr>
      </w:pPr>
    </w:p>
    <w:p w14:paraId="22C3A3DC" w14:textId="652CDD33" w:rsidR="009312A1" w:rsidRPr="009312A1" w:rsidRDefault="009312A1" w:rsidP="009312A1">
      <w:pPr>
        <w:spacing w:before="0" w:beforeAutospacing="0" w:after="200" w:afterAutospacing="0" w:line="240" w:lineRule="auto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n-AU"/>
        </w:rPr>
      </w:pPr>
      <w:bookmarkStart w:id="5" w:name="_Ref4596516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Figure S </w:t>
      </w:r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>5</w:t>
      </w:r>
      <w:bookmarkEnd w:id="5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 </w:t>
      </w:r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 xml:space="preserve">Effect of magnitude of non-additive effects on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/>
                <w:color w:val="000000"/>
                <w:sz w:val="18"/>
                <w:szCs w:val="18"/>
                <w:lang w:val="en-AU"/>
              </w:rPr>
            </m:ctrlPr>
          </m:sSubPr>
          <m:e>
            <m:r>
              <w:rPr>
                <w:rFonts w:ascii="Cambria Math" w:eastAsia="Calibri" w:hAnsi="Cambria Math" w:cs="Times New Roman"/>
                <w:noProof/>
                <w:color w:val="000000"/>
                <w:sz w:val="18"/>
                <w:szCs w:val="18"/>
                <w:lang w:val="en-AU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noProof/>
                <w:color w:val="000000"/>
                <w:sz w:val="18"/>
                <w:szCs w:val="18"/>
                <w:lang w:val="en-AU"/>
              </w:rPr>
              <m:t>g</m:t>
            </m:r>
          </m:sub>
        </m:sSub>
      </m:oMath>
      <w:r w:rsidRPr="009312A1">
        <w:rPr>
          <w:rFonts w:ascii="Calibri" w:eastAsia="Times New Roman" w:hAnsi="Calibri" w:cs="Times New Roman"/>
          <w:i/>
          <w:iCs/>
          <w:noProof/>
          <w:color w:val="000000"/>
          <w:sz w:val="18"/>
          <w:szCs w:val="18"/>
          <w:lang w:val="en-AU"/>
        </w:rPr>
        <w:t xml:space="preserve"> across generations, using non-additive effects that were 100 times larger than in the original simulations. The left plot is for genetic model D and the right plot for genetic model E</w:t>
      </w:r>
      <w:r w:rsidRPr="009312A1">
        <w:rPr>
          <w:rFonts w:ascii="Calibri" w:eastAsia="Times New Roman" w:hAnsi="Calibri" w:cs="Times New Roman"/>
          <w:i/>
          <w:iCs/>
          <w:noProof/>
          <w:color w:val="000000"/>
          <w:sz w:val="18"/>
          <w:szCs w:val="18"/>
          <w:vertAlign w:val="subscript"/>
          <w:lang w:val="en-AU"/>
        </w:rPr>
        <w:t>AA</w:t>
      </w:r>
      <w:r w:rsidRPr="009312A1">
        <w:rPr>
          <w:rFonts w:ascii="Calibri" w:eastAsia="Times New Roman" w:hAnsi="Calibri" w:cs="Times New Roman"/>
          <w:i/>
          <w:iCs/>
          <w:noProof/>
          <w:color w:val="000000"/>
          <w:sz w:val="18"/>
          <w:szCs w:val="18"/>
          <w:lang w:val="en-AU"/>
        </w:rPr>
        <w:t xml:space="preserve">. </w:t>
      </w:r>
      <w:r w:rsidRPr="009312A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n-AU"/>
        </w:rPr>
        <w:t>Colours of lines indicate the magnitude of non-additive effects.</w:t>
      </w:r>
    </w:p>
    <w:p w14:paraId="4671F894" w14:textId="77777777" w:rsidR="009312A1" w:rsidRPr="009312A1" w:rsidRDefault="009312A1" w:rsidP="009312A1">
      <w:pPr>
        <w:spacing w:before="0" w:beforeAutospacing="0" w:after="160" w:afterAutospacing="0" w:line="480" w:lineRule="auto"/>
        <w:rPr>
          <w:rFonts w:ascii="Calibri" w:eastAsia="Calibri" w:hAnsi="Calibri" w:cs="Times New Roman"/>
          <w:sz w:val="24"/>
          <w:lang w:val="en-AU"/>
        </w:rPr>
      </w:pPr>
    </w:p>
    <w:p w14:paraId="1D5A0E73" w14:textId="19452B04" w:rsidR="009312A1" w:rsidRPr="009312A1" w:rsidRDefault="009312A1" w:rsidP="009312A1">
      <w:pPr>
        <w:spacing w:before="0" w:beforeAutospacing="0" w:after="200" w:afterAutospacing="0" w:line="240" w:lineRule="auto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n-AU"/>
        </w:rPr>
      </w:pPr>
      <w:bookmarkStart w:id="6" w:name="_Ref535935053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Figure S </w:t>
      </w:r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>6</w:t>
      </w:r>
      <w:bookmarkEnd w:id="6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 Effect of magnitude of epistatic effects (</w:t>
      </w:r>
      <m:oMath>
        <m:r>
          <w:rPr>
            <w:rFonts w:ascii="Cambria Math" w:eastAsia="Calibri" w:hAnsi="Cambria Math" w:cs="Times New Roman"/>
            <w:color w:val="000000"/>
            <w:sz w:val="18"/>
            <w:szCs w:val="18"/>
            <w:lang w:val="en-AU"/>
          </w:rPr>
          <m:t>γ</m:t>
        </m:r>
      </m:oMath>
      <w:r w:rsidRPr="009312A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n-AU"/>
        </w:rPr>
        <w:t>) on the average effect of locus 2 (red), the difference in average effects at locus 2 between populations (green), and the ratio between th</w:t>
      </w:r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>em</w:t>
      </w:r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vertAlign w:val="subscript"/>
          <w:lang w:val="en-AU"/>
        </w:rPr>
        <w:softHyphen/>
      </w:r>
      <w:r w:rsidRPr="009312A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n-AU"/>
        </w:rPr>
        <w:t xml:space="preserve"> (yellow). </w:t>
      </w:r>
    </w:p>
    <w:p w14:paraId="22E90C99" w14:textId="77777777" w:rsidR="009312A1" w:rsidRPr="009312A1" w:rsidRDefault="009312A1" w:rsidP="009312A1">
      <w:pPr>
        <w:spacing w:before="0" w:beforeAutospacing="0" w:after="160" w:afterAutospacing="0" w:line="480" w:lineRule="auto"/>
        <w:rPr>
          <w:rFonts w:ascii="Calibri" w:eastAsia="Calibri" w:hAnsi="Calibri" w:cs="Times New Roman"/>
          <w:sz w:val="24"/>
          <w:lang w:val="en-AU"/>
        </w:rPr>
      </w:pPr>
    </w:p>
    <w:p w14:paraId="6195139C" w14:textId="349ED1BE" w:rsidR="009312A1" w:rsidRPr="009312A1" w:rsidRDefault="009312A1" w:rsidP="009312A1">
      <w:pPr>
        <w:spacing w:before="0" w:beforeAutospacing="0" w:after="200" w:afterAutospacing="0" w:line="240" w:lineRule="auto"/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</w:pPr>
      <w:bookmarkStart w:id="7" w:name="_Ref533073281"/>
      <w:bookmarkEnd w:id="4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Figure S </w:t>
      </w:r>
      <w:r w:rsidRPr="009312A1">
        <w:rPr>
          <w:rFonts w:ascii="Calibri" w:eastAsia="Calibri" w:hAnsi="Calibri" w:cs="Times New Roman"/>
          <w:i/>
          <w:iCs/>
          <w:noProof/>
          <w:color w:val="000000"/>
          <w:sz w:val="18"/>
          <w:szCs w:val="18"/>
          <w:lang w:val="en-AU"/>
        </w:rPr>
        <w:t>7</w:t>
      </w:r>
      <w:bookmarkEnd w:id="7"/>
      <w:r w:rsidRPr="009312A1">
        <w:rPr>
          <w:rFonts w:ascii="Calibri" w:eastAsia="Calibri" w:hAnsi="Calibri" w:cs="Times New Roman"/>
          <w:i/>
          <w:iCs/>
          <w:color w:val="000000"/>
          <w:sz w:val="18"/>
          <w:szCs w:val="18"/>
          <w:lang w:val="en-AU"/>
        </w:rPr>
        <w:t xml:space="preserve"> Effect of genetic model (indicated by coloured lines) on the rate of fixation of favourable (left plot) and unfavourable (right plot) alleles across generations (x-axis).</w:t>
      </w:r>
      <w:bookmarkStart w:id="8" w:name="_GoBack"/>
      <w:bookmarkEnd w:id="8"/>
    </w:p>
    <w:p w14:paraId="631C7E02" w14:textId="77777777" w:rsidR="008F1603" w:rsidRDefault="008F1603"/>
    <w:sectPr w:rsidR="008F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43DC"/>
    <w:rsid w:val="001A43DC"/>
    <w:rsid w:val="001F695C"/>
    <w:rsid w:val="002F218E"/>
    <w:rsid w:val="0044336D"/>
    <w:rsid w:val="00476B4E"/>
    <w:rsid w:val="0048596A"/>
    <w:rsid w:val="00670B6C"/>
    <w:rsid w:val="00811B04"/>
    <w:rsid w:val="00885487"/>
    <w:rsid w:val="008F1603"/>
    <w:rsid w:val="009312A1"/>
    <w:rsid w:val="009D5937"/>
    <w:rsid w:val="00A141EE"/>
    <w:rsid w:val="00BE0139"/>
    <w:rsid w:val="00CC5F36"/>
    <w:rsid w:val="00DA4314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7EBCF-9DA2-45E9-86C3-2D0CF448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before="100" w:beforeAutospacing="1" w:after="100" w:afterAutospacing="1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39"/>
  </w:style>
  <w:style w:type="paragraph" w:styleId="Heading1">
    <w:name w:val="heading 1"/>
    <w:basedOn w:val="Normal"/>
    <w:next w:val="Normal"/>
    <w:link w:val="Heading1Char"/>
    <w:uiPriority w:val="9"/>
    <w:qFormat/>
    <w:rsid w:val="00BE0139"/>
    <w:pPr>
      <w:spacing w:line="360" w:lineRule="auto"/>
      <w:contextualSpacing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139"/>
    <w:pPr>
      <w:spacing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139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E0139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1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01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01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1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E01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39"/>
    <w:rPr>
      <w:rFonts w:eastAsiaTheme="majorEastAsia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13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139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E0139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E01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E01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E01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E01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E01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0139"/>
    <w:pPr>
      <w:spacing w:line="240" w:lineRule="auto"/>
      <w:contextualSpacing/>
    </w:pPr>
    <w:rPr>
      <w:rFonts w:eastAsiaTheme="majorEastAsia" w:cstheme="majorBidi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139"/>
    <w:rPr>
      <w:rFonts w:eastAsiaTheme="majorEastAsia" w:cstheme="majorBidi"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1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1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0139"/>
    <w:rPr>
      <w:b/>
      <w:bCs/>
    </w:rPr>
  </w:style>
  <w:style w:type="character" w:styleId="Emphasis">
    <w:name w:val="Emphasis"/>
    <w:uiPriority w:val="20"/>
    <w:qFormat/>
    <w:rsid w:val="00BE01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0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1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1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01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13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139"/>
    <w:rPr>
      <w:b/>
      <w:bCs/>
      <w:i/>
      <w:iCs/>
    </w:rPr>
  </w:style>
  <w:style w:type="character" w:styleId="SubtleEmphasis">
    <w:name w:val="Subtle Emphasis"/>
    <w:uiPriority w:val="19"/>
    <w:qFormat/>
    <w:rsid w:val="00BE0139"/>
    <w:rPr>
      <w:i/>
      <w:iCs/>
    </w:rPr>
  </w:style>
  <w:style w:type="character" w:styleId="IntenseEmphasis">
    <w:name w:val="Intense Emphasis"/>
    <w:uiPriority w:val="21"/>
    <w:qFormat/>
    <w:rsid w:val="00BE0139"/>
    <w:rPr>
      <w:b/>
      <w:bCs/>
    </w:rPr>
  </w:style>
  <w:style w:type="character" w:styleId="SubtleReference">
    <w:name w:val="Subtle Reference"/>
    <w:uiPriority w:val="31"/>
    <w:qFormat/>
    <w:rsid w:val="00BE0139"/>
    <w:rPr>
      <w:smallCaps/>
    </w:rPr>
  </w:style>
  <w:style w:type="character" w:styleId="IntenseReference">
    <w:name w:val="Intense Reference"/>
    <w:uiPriority w:val="32"/>
    <w:qFormat/>
    <w:rsid w:val="00BE0139"/>
    <w:rPr>
      <w:smallCaps/>
      <w:spacing w:val="5"/>
      <w:u w:val="single"/>
    </w:rPr>
  </w:style>
  <w:style w:type="character" w:styleId="BookTitle">
    <w:name w:val="Book Title"/>
    <w:uiPriority w:val="33"/>
    <w:qFormat/>
    <w:rsid w:val="00BE01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13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E0139"/>
    <w:pPr>
      <w:spacing w:before="0" w:beforeAutospacing="0"/>
    </w:pPr>
    <w:rPr>
      <w:b/>
      <w:bCs/>
      <w:color w:val="595959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scal B&amp;W">
      <a:dk1>
        <a:sysClr val="windowText" lastClr="000000"/>
      </a:dk1>
      <a:lt1>
        <a:srgbClr val="595959"/>
      </a:lt1>
      <a:dk2>
        <a:srgbClr val="000000"/>
      </a:dk2>
      <a:lt2>
        <a:srgbClr val="595959"/>
      </a:lt2>
      <a:accent1>
        <a:srgbClr val="595959"/>
      </a:accent1>
      <a:accent2>
        <a:srgbClr val="595959"/>
      </a:accent2>
      <a:accent3>
        <a:srgbClr val="595959"/>
      </a:accent3>
      <a:accent4>
        <a:srgbClr val="595959"/>
      </a:accent4>
      <a:accent5>
        <a:srgbClr val="595959"/>
      </a:accent5>
      <a:accent6>
        <a:srgbClr val="595959"/>
      </a:accent6>
      <a:hlink>
        <a:srgbClr val="595959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C371592B.dotm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Duenk, Pascal</dc:creator>
  <cp:keywords/>
  <dc:description/>
  <cp:lastModifiedBy>Duenk, Pascal</cp:lastModifiedBy>
  <cp:revision>2</cp:revision>
  <dcterms:created xsi:type="dcterms:W3CDTF">2019-12-19T08:08:00Z</dcterms:created>
  <dcterms:modified xsi:type="dcterms:W3CDTF">2019-12-19T08:10:00Z</dcterms:modified>
</cp:coreProperties>
</file>