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B7C0A" w14:textId="77777777" w:rsidR="00187A08" w:rsidRPr="005C6B1A" w:rsidRDefault="00187A08" w:rsidP="00187A08">
      <w:pPr>
        <w:widowControl w:val="0"/>
        <w:spacing w:line="360" w:lineRule="auto"/>
        <w:jc w:val="center"/>
        <w:outlineLvl w:val="0"/>
        <w:rPr>
          <w:rFonts w:ascii="Arial" w:hAnsi="Arial" w:cs="Arial"/>
          <w:b/>
          <w:color w:val="000000" w:themeColor="text1"/>
        </w:rPr>
      </w:pPr>
      <w:r w:rsidRPr="005C6B1A">
        <w:rPr>
          <w:rFonts w:ascii="Arial" w:hAnsi="Arial" w:cs="Arial"/>
          <w:b/>
          <w:color w:val="000000" w:themeColor="text1"/>
        </w:rPr>
        <w:t>SUPPLEMENTARY INFORMATION</w:t>
      </w:r>
    </w:p>
    <w:p w14:paraId="7C72422D" w14:textId="77777777" w:rsidR="00187A08" w:rsidRPr="005C6B1A" w:rsidRDefault="00187A08" w:rsidP="00187A08">
      <w:pPr>
        <w:widowControl w:val="0"/>
        <w:spacing w:line="360" w:lineRule="auto"/>
        <w:outlineLvl w:val="0"/>
        <w:rPr>
          <w:rFonts w:ascii="Arial" w:hAnsi="Arial" w:cs="Arial"/>
          <w:b/>
          <w:color w:val="000000" w:themeColor="text1"/>
        </w:rPr>
      </w:pPr>
    </w:p>
    <w:p w14:paraId="4661C18B" w14:textId="77777777" w:rsidR="00187A08" w:rsidRPr="005C6B1A" w:rsidRDefault="00187A08" w:rsidP="00187A08">
      <w:pPr>
        <w:widowControl w:val="0"/>
        <w:spacing w:line="360" w:lineRule="auto"/>
        <w:outlineLvl w:val="0"/>
        <w:rPr>
          <w:rFonts w:ascii="Arial" w:hAnsi="Arial" w:cs="Arial"/>
          <w:b/>
          <w:color w:val="000000" w:themeColor="text1"/>
        </w:rPr>
      </w:pPr>
    </w:p>
    <w:p w14:paraId="2F4ABB74" w14:textId="77777777" w:rsidR="00A45DE0" w:rsidRPr="005C6B1A" w:rsidRDefault="00187A08" w:rsidP="00A45DE0">
      <w:pPr>
        <w:widowControl w:val="0"/>
        <w:spacing w:line="360" w:lineRule="auto"/>
        <w:outlineLvl w:val="0"/>
        <w:rPr>
          <w:rFonts w:ascii="Arial" w:hAnsi="Arial" w:cs="Arial"/>
          <w:b/>
          <w:color w:val="000000" w:themeColor="text1"/>
        </w:rPr>
      </w:pPr>
      <w:r w:rsidRPr="005C6B1A">
        <w:rPr>
          <w:rFonts w:ascii="Arial" w:hAnsi="Arial" w:cs="Arial"/>
          <w:b/>
          <w:color w:val="000000" w:themeColor="text1"/>
        </w:rPr>
        <w:t>SUPPLEMENTARY FIGURE LEGENDS</w:t>
      </w:r>
    </w:p>
    <w:p w14:paraId="61060F54" w14:textId="77777777" w:rsidR="00A45DE0" w:rsidRPr="005C6B1A" w:rsidRDefault="00A45DE0" w:rsidP="00A45DE0">
      <w:pPr>
        <w:widowControl w:val="0"/>
        <w:spacing w:line="360" w:lineRule="auto"/>
        <w:outlineLvl w:val="0"/>
        <w:rPr>
          <w:rFonts w:ascii="Arial" w:hAnsi="Arial" w:cs="Arial"/>
          <w:b/>
          <w:color w:val="000000" w:themeColor="text1"/>
        </w:rPr>
      </w:pPr>
    </w:p>
    <w:p w14:paraId="40870094" w14:textId="73464D88" w:rsidR="00A45DE0" w:rsidRPr="005C6B1A" w:rsidRDefault="00A45DE0" w:rsidP="00A45DE0">
      <w:pPr>
        <w:widowControl w:val="0"/>
        <w:spacing w:line="360" w:lineRule="auto"/>
        <w:outlineLvl w:val="0"/>
        <w:rPr>
          <w:rFonts w:ascii="Arial" w:hAnsi="Arial" w:cs="Arial"/>
          <w:b/>
          <w:color w:val="000000" w:themeColor="text1"/>
        </w:rPr>
      </w:pPr>
      <w:r w:rsidRPr="005C6B1A">
        <w:rPr>
          <w:rFonts w:ascii="Arial" w:eastAsia="Arial" w:hAnsi="Arial" w:cs="Arial"/>
          <w:b/>
          <w:bCs/>
          <w:color w:val="000000" w:themeColor="text1"/>
        </w:rPr>
        <w:t>Suppl. Figure S1:</w:t>
      </w:r>
      <w:r w:rsidR="0076233D" w:rsidRPr="005C6B1A">
        <w:rPr>
          <w:rFonts w:ascii="Arial" w:eastAsia="Arial" w:hAnsi="Arial" w:cs="Arial"/>
          <w:b/>
          <w:bCs/>
          <w:color w:val="000000" w:themeColor="text1"/>
        </w:rPr>
        <w:t xml:space="preserve"> VGLU-2 does not colocalize with VHA-5.</w:t>
      </w:r>
      <w:r w:rsidRPr="005C6B1A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005C6B1A">
        <w:rPr>
          <w:rFonts w:ascii="Arial" w:eastAsia="Arial" w:hAnsi="Arial" w:cs="Arial"/>
          <w:color w:val="000000" w:themeColor="text1"/>
        </w:rPr>
        <w:t xml:space="preserve">Epidermal VGLU-2::GFP, expressed in </w:t>
      </w:r>
      <w:r w:rsidRPr="005C6B1A">
        <w:rPr>
          <w:rFonts w:ascii="Arial" w:hAnsi="Arial" w:cs="Arial"/>
          <w:i/>
          <w:color w:val="000000" w:themeColor="text1"/>
        </w:rPr>
        <w:t>vglu-2</w:t>
      </w:r>
      <w:r w:rsidRPr="005C6B1A">
        <w:rPr>
          <w:rFonts w:ascii="Arial" w:hAnsi="Arial" w:cs="Arial"/>
          <w:color w:val="000000" w:themeColor="text1"/>
        </w:rPr>
        <w:t>(</w:t>
      </w:r>
      <w:r w:rsidRPr="005C6B1A">
        <w:rPr>
          <w:rFonts w:ascii="Arial" w:hAnsi="Arial" w:cs="Arial"/>
          <w:i/>
          <w:color w:val="000000" w:themeColor="text1"/>
        </w:rPr>
        <w:t>syb362[vglu-2::gfp]</w:t>
      </w:r>
      <w:r w:rsidRPr="005C6B1A">
        <w:rPr>
          <w:rFonts w:ascii="Arial" w:hAnsi="Arial" w:cs="Arial"/>
          <w:color w:val="000000" w:themeColor="text1"/>
        </w:rPr>
        <w:t>)</w:t>
      </w:r>
      <w:r w:rsidR="0076233D" w:rsidRPr="005C6B1A">
        <w:rPr>
          <w:rFonts w:ascii="Arial" w:hAnsi="Arial" w:cs="Arial"/>
          <w:color w:val="000000" w:themeColor="text1"/>
        </w:rPr>
        <w:t xml:space="preserve"> signals</w:t>
      </w:r>
      <w:r w:rsidR="0076233D" w:rsidRPr="005C6B1A">
        <w:rPr>
          <w:rFonts w:ascii="Arial" w:eastAsia="Arial" w:hAnsi="Arial" w:cs="Arial"/>
          <w:color w:val="000000" w:themeColor="text1"/>
        </w:rPr>
        <w:t xml:space="preserve"> do</w:t>
      </w:r>
      <w:r w:rsidRPr="005C6B1A">
        <w:rPr>
          <w:rFonts w:ascii="Arial" w:eastAsia="Arial" w:hAnsi="Arial" w:cs="Arial"/>
          <w:color w:val="000000" w:themeColor="text1"/>
        </w:rPr>
        <w:t xml:space="preserve"> not overlap with VHA-5::RFP</w:t>
      </w:r>
      <w:r w:rsidR="008B4F2E" w:rsidRPr="005C6B1A">
        <w:rPr>
          <w:rFonts w:ascii="Arial" w:eastAsia="Arial" w:hAnsi="Arial" w:cs="Arial"/>
          <w:color w:val="000000" w:themeColor="text1"/>
        </w:rPr>
        <w:t xml:space="preserve"> (transgene </w:t>
      </w:r>
      <w:r w:rsidR="008B4F2E" w:rsidRPr="005C6B1A">
        <w:rPr>
          <w:rFonts w:ascii="Arial" w:hAnsi="Arial" w:cs="Arial"/>
          <w:bCs/>
          <w:i/>
          <w:iCs/>
        </w:rPr>
        <w:t>mcIs52</w:t>
      </w:r>
      <w:r w:rsidR="008B4F2E" w:rsidRPr="005C6B1A">
        <w:rPr>
          <w:rFonts w:ascii="Arial" w:hAnsi="Arial" w:cs="Arial"/>
          <w:bCs/>
          <w:iCs/>
        </w:rPr>
        <w:t>)</w:t>
      </w:r>
      <w:r w:rsidR="00B807D4">
        <w:rPr>
          <w:rFonts w:ascii="Arial" w:hAnsi="Arial" w:cs="Arial"/>
          <w:bCs/>
          <w:iCs/>
        </w:rPr>
        <w:t xml:space="preserve">. </w:t>
      </w:r>
      <w:r w:rsidR="005A56F6" w:rsidRPr="005C6B1A">
        <w:rPr>
          <w:rFonts w:ascii="Arial" w:eastAsia="Arial" w:hAnsi="Arial" w:cs="Arial"/>
          <w:color w:val="000000" w:themeColor="text1"/>
        </w:rPr>
        <w:t>R</w:t>
      </w:r>
      <w:r w:rsidRPr="005C6B1A">
        <w:rPr>
          <w:rFonts w:ascii="Arial" w:eastAsia="Arial" w:hAnsi="Arial" w:cs="Arial"/>
          <w:color w:val="000000" w:themeColor="text1"/>
        </w:rPr>
        <w:t>ight panel represents a blow-up of white stippled box in left panel.</w:t>
      </w:r>
      <w:r w:rsidR="003E0BDF">
        <w:rPr>
          <w:rFonts w:ascii="Arial" w:eastAsia="Arial" w:hAnsi="Arial" w:cs="Arial"/>
          <w:color w:val="000000" w:themeColor="text1"/>
        </w:rPr>
        <w:t xml:space="preserve"> Scale bar = 50 </w:t>
      </w:r>
      <w:r w:rsidR="003E0BDF" w:rsidRPr="002F2CB9">
        <w:rPr>
          <w:rFonts w:ascii="Symbol" w:eastAsia="Arial" w:hAnsi="Symbol" w:cs="Arial"/>
          <w:color w:val="000000" w:themeColor="text1"/>
        </w:rPr>
        <w:t></w:t>
      </w:r>
      <w:r w:rsidR="003E0BDF">
        <w:rPr>
          <w:rFonts w:ascii="Arial" w:eastAsia="Arial" w:hAnsi="Arial" w:cs="Arial"/>
          <w:color w:val="000000" w:themeColor="text1"/>
        </w:rPr>
        <w:t>m</w:t>
      </w:r>
    </w:p>
    <w:p w14:paraId="162DF94C" w14:textId="77777777" w:rsidR="00A45DE0" w:rsidRPr="005C6B1A" w:rsidRDefault="00A45DE0" w:rsidP="00187A08">
      <w:pPr>
        <w:rPr>
          <w:rFonts w:ascii="Arial" w:eastAsia="Arial" w:hAnsi="Arial" w:cs="Arial"/>
          <w:color w:val="000000" w:themeColor="text1"/>
        </w:rPr>
      </w:pPr>
    </w:p>
    <w:p w14:paraId="7CC18FAE" w14:textId="77777777" w:rsidR="00187A08" w:rsidRPr="005C6B1A" w:rsidRDefault="00D447FD" w:rsidP="00187A08">
      <w:pPr>
        <w:widowControl w:val="0"/>
        <w:spacing w:line="360" w:lineRule="auto"/>
        <w:outlineLvl w:val="0"/>
        <w:rPr>
          <w:rFonts w:ascii="Arial" w:eastAsia="Arial" w:hAnsi="Arial" w:cs="Arial"/>
          <w:b/>
          <w:bCs/>
          <w:iCs/>
          <w:color w:val="000000" w:themeColor="text1"/>
        </w:rPr>
      </w:pPr>
      <w:r w:rsidRPr="005C6B1A">
        <w:rPr>
          <w:rFonts w:ascii="Arial" w:eastAsia="Arial" w:hAnsi="Arial" w:cs="Arial"/>
          <w:b/>
          <w:bCs/>
          <w:color w:val="000000" w:themeColor="text1"/>
        </w:rPr>
        <w:t>Suppl. Figure S</w:t>
      </w:r>
      <w:r w:rsidR="00A45DE0" w:rsidRPr="005C6B1A">
        <w:rPr>
          <w:rFonts w:ascii="Arial" w:eastAsia="Arial" w:hAnsi="Arial" w:cs="Arial"/>
          <w:b/>
          <w:bCs/>
          <w:color w:val="000000" w:themeColor="text1"/>
        </w:rPr>
        <w:t>2</w:t>
      </w:r>
      <w:r w:rsidRPr="005C6B1A">
        <w:rPr>
          <w:rFonts w:ascii="Arial" w:eastAsia="Arial" w:hAnsi="Arial" w:cs="Arial"/>
          <w:b/>
          <w:bCs/>
          <w:color w:val="000000" w:themeColor="text1"/>
        </w:rPr>
        <w:t xml:space="preserve">: </w:t>
      </w:r>
      <w:r w:rsidRPr="005C6B1A">
        <w:rPr>
          <w:rFonts w:ascii="Arial" w:eastAsia="Arial" w:hAnsi="Arial" w:cs="Arial"/>
          <w:b/>
          <w:bCs/>
          <w:i/>
          <w:color w:val="000000" w:themeColor="text1"/>
        </w:rPr>
        <w:t xml:space="preserve">gfp </w:t>
      </w:r>
      <w:r w:rsidRPr="005C6B1A">
        <w:rPr>
          <w:rFonts w:ascii="Arial" w:eastAsia="Arial" w:hAnsi="Arial" w:cs="Arial"/>
          <w:b/>
          <w:bCs/>
          <w:color w:val="000000" w:themeColor="text1"/>
        </w:rPr>
        <w:t xml:space="preserve">tagging does not affect </w:t>
      </w:r>
      <w:r w:rsidRPr="005C6B1A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vglu-2 </w:t>
      </w:r>
      <w:r w:rsidRPr="005C6B1A">
        <w:rPr>
          <w:rFonts w:ascii="Arial" w:eastAsia="Arial" w:hAnsi="Arial" w:cs="Arial"/>
          <w:b/>
          <w:bCs/>
          <w:iCs/>
          <w:color w:val="000000" w:themeColor="text1"/>
        </w:rPr>
        <w:t>function.</w:t>
      </w:r>
    </w:p>
    <w:p w14:paraId="28B1F375" w14:textId="47E0D6F8" w:rsidR="00D447FD" w:rsidRPr="005C6B1A" w:rsidRDefault="00D447FD" w:rsidP="00187A08">
      <w:pPr>
        <w:widowControl w:val="0"/>
        <w:spacing w:line="360" w:lineRule="auto"/>
        <w:outlineLvl w:val="0"/>
        <w:rPr>
          <w:rFonts w:ascii="Arial" w:eastAsia="Arial" w:hAnsi="Arial" w:cs="Arial"/>
          <w:bCs/>
          <w:iCs/>
          <w:color w:val="000000" w:themeColor="text1"/>
        </w:rPr>
      </w:pPr>
      <w:r w:rsidRPr="005C6B1A">
        <w:rPr>
          <w:rFonts w:ascii="Arial" w:eastAsia="Arial" w:hAnsi="Arial" w:cs="Arial"/>
          <w:bCs/>
          <w:iCs/>
          <w:color w:val="000000" w:themeColor="text1"/>
        </w:rPr>
        <w:t xml:space="preserve">The bleach resistance assay shown in </w:t>
      </w:r>
      <w:r w:rsidRPr="002F2CB9">
        <w:rPr>
          <w:rFonts w:ascii="Arial" w:eastAsia="Arial" w:hAnsi="Arial" w:cs="Arial"/>
          <w:b/>
          <w:bCs/>
          <w:iCs/>
          <w:color w:val="000000" w:themeColor="text1"/>
        </w:rPr>
        <w:t>Fig</w:t>
      </w:r>
      <w:r w:rsidR="00CE3932" w:rsidRPr="002F2CB9">
        <w:rPr>
          <w:rFonts w:ascii="Arial" w:eastAsia="Arial" w:hAnsi="Arial" w:cs="Arial"/>
          <w:b/>
          <w:bCs/>
          <w:iCs/>
          <w:color w:val="000000" w:themeColor="text1"/>
        </w:rPr>
        <w:t>.</w:t>
      </w:r>
      <w:r w:rsidRPr="002F2CB9">
        <w:rPr>
          <w:rFonts w:ascii="Arial" w:eastAsia="Arial" w:hAnsi="Arial" w:cs="Arial"/>
          <w:b/>
          <w:bCs/>
          <w:iCs/>
          <w:color w:val="000000" w:themeColor="text1"/>
        </w:rPr>
        <w:t xml:space="preserve"> </w:t>
      </w:r>
      <w:r w:rsidR="00BD6F1C" w:rsidRPr="002F2CB9">
        <w:rPr>
          <w:rFonts w:ascii="Arial" w:eastAsia="Arial" w:hAnsi="Arial" w:cs="Arial"/>
          <w:b/>
          <w:bCs/>
          <w:iCs/>
          <w:color w:val="000000" w:themeColor="text1"/>
        </w:rPr>
        <w:t>6</w:t>
      </w:r>
      <w:r w:rsidR="00CE3932" w:rsidRPr="002F2CB9">
        <w:rPr>
          <w:rFonts w:ascii="Arial" w:eastAsia="Arial" w:hAnsi="Arial" w:cs="Arial"/>
          <w:b/>
          <w:bCs/>
          <w:iCs/>
          <w:color w:val="000000" w:themeColor="text1"/>
        </w:rPr>
        <w:t>B</w:t>
      </w:r>
      <w:r w:rsidRPr="005C6B1A">
        <w:rPr>
          <w:rFonts w:ascii="Arial" w:eastAsia="Arial" w:hAnsi="Arial" w:cs="Arial"/>
          <w:bCs/>
          <w:iCs/>
          <w:color w:val="000000" w:themeColor="text1"/>
        </w:rPr>
        <w:t xml:space="preserve"> was used to test whether there are any defects in wild-type or </w:t>
      </w:r>
      <w:r w:rsidRPr="005C6B1A">
        <w:rPr>
          <w:rFonts w:ascii="Arial" w:eastAsia="Arial" w:hAnsi="Arial" w:cs="Arial"/>
          <w:bCs/>
          <w:i/>
          <w:iCs/>
          <w:color w:val="000000" w:themeColor="text1"/>
        </w:rPr>
        <w:t xml:space="preserve">vglu-2::gfp </w:t>
      </w:r>
      <w:r w:rsidRPr="005C6B1A">
        <w:rPr>
          <w:rFonts w:ascii="Arial" w:eastAsia="Arial" w:hAnsi="Arial" w:cs="Arial"/>
          <w:bCs/>
          <w:iCs/>
          <w:color w:val="000000" w:themeColor="text1"/>
        </w:rPr>
        <w:t xml:space="preserve">animals. </w:t>
      </w:r>
      <w:r w:rsidRPr="005C6B1A">
        <w:rPr>
          <w:rFonts w:ascii="Arial" w:eastAsia="Arial" w:hAnsi="Arial" w:cs="Arial"/>
          <w:bCs/>
          <w:i/>
          <w:iCs/>
          <w:color w:val="000000" w:themeColor="text1"/>
        </w:rPr>
        <w:t>him-5</w:t>
      </w:r>
      <w:r w:rsidR="00CE3932">
        <w:rPr>
          <w:rFonts w:ascii="Arial" w:eastAsia="Arial" w:hAnsi="Arial" w:cs="Arial"/>
          <w:bCs/>
          <w:i/>
          <w:iCs/>
          <w:color w:val="000000" w:themeColor="text1"/>
        </w:rPr>
        <w:t>(e1490)</w:t>
      </w:r>
      <w:r w:rsidRPr="005C6B1A">
        <w:rPr>
          <w:rFonts w:ascii="Arial" w:eastAsia="Arial" w:hAnsi="Arial" w:cs="Arial"/>
          <w:bCs/>
          <w:i/>
          <w:iCs/>
          <w:color w:val="000000" w:themeColor="text1"/>
        </w:rPr>
        <w:t xml:space="preserve"> </w:t>
      </w:r>
      <w:r w:rsidRPr="005C6B1A">
        <w:rPr>
          <w:rFonts w:ascii="Arial" w:eastAsia="Arial" w:hAnsi="Arial" w:cs="Arial"/>
          <w:bCs/>
          <w:iCs/>
          <w:color w:val="000000" w:themeColor="text1"/>
        </w:rPr>
        <w:t>was present in both backgrounds.</w:t>
      </w:r>
    </w:p>
    <w:p w14:paraId="4DD5A30C" w14:textId="77777777" w:rsidR="00D447FD" w:rsidRPr="005C6B1A" w:rsidRDefault="00D447FD" w:rsidP="00187A08">
      <w:pPr>
        <w:widowControl w:val="0"/>
        <w:spacing w:line="360" w:lineRule="auto"/>
        <w:outlineLvl w:val="0"/>
        <w:rPr>
          <w:rFonts w:ascii="Arial" w:hAnsi="Arial" w:cs="Arial"/>
          <w:b/>
          <w:color w:val="000000" w:themeColor="text1"/>
        </w:rPr>
      </w:pPr>
    </w:p>
    <w:p w14:paraId="17DCF182" w14:textId="6BA90E9A" w:rsidR="00187A08" w:rsidRPr="005C6B1A" w:rsidRDefault="00187A08" w:rsidP="00722B0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C6B1A">
        <w:rPr>
          <w:rFonts w:ascii="Arial" w:eastAsia="Arial" w:hAnsi="Arial" w:cs="Arial"/>
          <w:b/>
          <w:bCs/>
          <w:color w:val="000000" w:themeColor="text1"/>
        </w:rPr>
        <w:t>Suppl. Figure S</w:t>
      </w:r>
      <w:r w:rsidR="00A45DE0" w:rsidRPr="005C6B1A">
        <w:rPr>
          <w:rFonts w:ascii="Arial" w:eastAsia="Arial" w:hAnsi="Arial" w:cs="Arial"/>
          <w:b/>
          <w:bCs/>
          <w:color w:val="000000" w:themeColor="text1"/>
        </w:rPr>
        <w:t>3</w:t>
      </w:r>
      <w:r w:rsidRPr="005C6B1A">
        <w:rPr>
          <w:rFonts w:ascii="Arial" w:eastAsia="Arial" w:hAnsi="Arial" w:cs="Arial"/>
          <w:b/>
          <w:bCs/>
          <w:color w:val="000000" w:themeColor="text1"/>
        </w:rPr>
        <w:t xml:space="preserve">: </w:t>
      </w:r>
      <w:r w:rsidRPr="005C6B1A">
        <w:rPr>
          <w:rFonts w:ascii="Arial" w:eastAsia="Arial" w:hAnsi="Arial" w:cs="Arial"/>
          <w:b/>
          <w:bCs/>
          <w:i/>
          <w:iCs/>
          <w:color w:val="000000" w:themeColor="text1"/>
        </w:rPr>
        <w:t>vglu</w:t>
      </w:r>
      <w:r w:rsidR="00D447FD" w:rsidRPr="005C6B1A">
        <w:rPr>
          <w:rFonts w:ascii="Arial" w:eastAsia="Arial" w:hAnsi="Arial" w:cs="Arial"/>
          <w:b/>
          <w:bCs/>
          <w:i/>
          <w:iCs/>
          <w:color w:val="000000" w:themeColor="text1"/>
        </w:rPr>
        <w:t>-</w:t>
      </w:r>
      <w:r w:rsidRPr="005C6B1A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2 </w:t>
      </w:r>
      <w:r w:rsidRPr="005C6B1A">
        <w:rPr>
          <w:rFonts w:ascii="Arial" w:eastAsia="Arial" w:hAnsi="Arial" w:cs="Arial"/>
          <w:b/>
          <w:bCs/>
          <w:color w:val="000000" w:themeColor="text1"/>
        </w:rPr>
        <w:t>mutants display normal cuticle morphology and hypo</w:t>
      </w:r>
      <w:r w:rsidR="00CE3932">
        <w:rPr>
          <w:rFonts w:ascii="Arial" w:eastAsia="Arial" w:hAnsi="Arial" w:cs="Arial"/>
          <w:b/>
          <w:bCs/>
          <w:color w:val="000000" w:themeColor="text1"/>
        </w:rPr>
        <w:t>-</w:t>
      </w:r>
      <w:r w:rsidRPr="005C6B1A">
        <w:rPr>
          <w:rFonts w:ascii="Arial" w:eastAsia="Arial" w:hAnsi="Arial" w:cs="Arial"/>
          <w:b/>
          <w:bCs/>
          <w:color w:val="000000" w:themeColor="text1"/>
        </w:rPr>
        <w:t xml:space="preserve">osmotic sensitivity </w:t>
      </w:r>
    </w:p>
    <w:p w14:paraId="1229BC28" w14:textId="77777777" w:rsidR="00187A08" w:rsidRPr="005C6B1A" w:rsidRDefault="00187A08" w:rsidP="00722B0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C6B1A">
        <w:rPr>
          <w:rFonts w:ascii="Arial" w:eastAsia="Arial" w:hAnsi="Arial" w:cs="Arial"/>
          <w:color w:val="000000" w:themeColor="text1"/>
        </w:rPr>
        <w:t xml:space="preserve">Cuticle morphology in </w:t>
      </w:r>
      <w:r w:rsidRPr="005C6B1A">
        <w:rPr>
          <w:rFonts w:ascii="Arial" w:eastAsia="Arial" w:hAnsi="Arial" w:cs="Arial"/>
          <w:i/>
          <w:iCs/>
          <w:color w:val="000000" w:themeColor="text1"/>
        </w:rPr>
        <w:t>vglu-2</w:t>
      </w:r>
      <w:r w:rsidRPr="005C6B1A">
        <w:rPr>
          <w:rFonts w:ascii="Arial" w:eastAsia="Arial" w:hAnsi="Arial" w:cs="Arial"/>
          <w:color w:val="000000" w:themeColor="text1"/>
        </w:rPr>
        <w:t xml:space="preserve"> mutants. Expression and distribution of the collagen marker COL-19::GFP</w:t>
      </w:r>
      <w:r w:rsidR="003033EB" w:rsidRPr="005C6B1A">
        <w:rPr>
          <w:rFonts w:ascii="Arial" w:eastAsia="Arial" w:hAnsi="Arial" w:cs="Arial"/>
          <w:color w:val="000000" w:themeColor="text1"/>
        </w:rPr>
        <w:t xml:space="preserve"> (Liu at al., 1995)</w:t>
      </w:r>
      <w:r w:rsidRPr="005C6B1A">
        <w:rPr>
          <w:rFonts w:ascii="Arial" w:eastAsia="Arial" w:hAnsi="Arial" w:cs="Arial"/>
          <w:color w:val="000000" w:themeColor="text1"/>
        </w:rPr>
        <w:t xml:space="preserve"> and QUA-1</w:t>
      </w:r>
      <w:r w:rsidR="003033EB" w:rsidRPr="005C6B1A">
        <w:rPr>
          <w:rFonts w:ascii="Arial" w:eastAsia="Arial" w:hAnsi="Arial" w:cs="Arial"/>
          <w:color w:val="000000" w:themeColor="text1"/>
        </w:rPr>
        <w:t xml:space="preserve"> (Hao et al., 2006)</w:t>
      </w:r>
      <w:r w:rsidRPr="005C6B1A">
        <w:rPr>
          <w:rFonts w:ascii="Arial" w:eastAsia="Arial" w:hAnsi="Arial" w:cs="Arial"/>
          <w:color w:val="000000" w:themeColor="text1"/>
        </w:rPr>
        <w:t xml:space="preserve"> is not affected in 2-day old </w:t>
      </w:r>
      <w:r w:rsidRPr="005C6B1A">
        <w:rPr>
          <w:rFonts w:ascii="Arial" w:eastAsia="Arial" w:hAnsi="Arial" w:cs="Arial"/>
          <w:i/>
          <w:iCs/>
          <w:color w:val="000000" w:themeColor="text1"/>
        </w:rPr>
        <w:t>vglu-2</w:t>
      </w:r>
      <w:r w:rsidRPr="005C6B1A">
        <w:rPr>
          <w:rFonts w:ascii="Arial" w:eastAsia="Arial" w:hAnsi="Arial" w:cs="Arial"/>
          <w:color w:val="000000" w:themeColor="text1"/>
        </w:rPr>
        <w:t xml:space="preserve"> mutant animals. </w:t>
      </w:r>
      <w:r w:rsidR="00005742" w:rsidRPr="005C6B1A">
        <w:rPr>
          <w:rFonts w:ascii="Arial" w:eastAsia="Arial" w:hAnsi="Arial" w:cs="Arial"/>
          <w:color w:val="000000" w:themeColor="text1"/>
        </w:rPr>
        <w:t>See strain list for details.</w:t>
      </w:r>
    </w:p>
    <w:p w14:paraId="6623F949" w14:textId="77777777" w:rsidR="00187A08" w:rsidRPr="005C6B1A" w:rsidRDefault="00187A08" w:rsidP="00722B02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C6B1A">
        <w:rPr>
          <w:rFonts w:ascii="Arial" w:eastAsia="Arial" w:hAnsi="Arial" w:cs="Arial"/>
          <w:color w:val="000000" w:themeColor="text1"/>
        </w:rPr>
        <w:t xml:space="preserve">Scale bar = 10 µm </w:t>
      </w:r>
    </w:p>
    <w:p w14:paraId="0D1F4C8D" w14:textId="77777777" w:rsidR="00187A08" w:rsidRPr="005C6B1A" w:rsidRDefault="00187A08" w:rsidP="00187A08">
      <w:pPr>
        <w:spacing w:line="360" w:lineRule="auto"/>
        <w:outlineLvl w:val="0"/>
        <w:rPr>
          <w:rFonts w:ascii="Arial" w:hAnsi="Arial" w:cs="Arial"/>
          <w:b/>
          <w:bCs/>
          <w:color w:val="000000" w:themeColor="text1"/>
        </w:rPr>
      </w:pPr>
    </w:p>
    <w:p w14:paraId="04C86756" w14:textId="77777777" w:rsidR="00574C25" w:rsidRPr="005C6B1A" w:rsidRDefault="00574C25" w:rsidP="00722B02">
      <w:pPr>
        <w:spacing w:line="360" w:lineRule="auto"/>
        <w:jc w:val="both"/>
        <w:rPr>
          <w:rFonts w:ascii="Arial" w:hAnsi="Arial" w:cs="Arial"/>
          <w:b/>
          <w:bCs/>
        </w:rPr>
      </w:pPr>
      <w:r w:rsidRPr="005C6B1A">
        <w:rPr>
          <w:rFonts w:ascii="Arial" w:eastAsia="Arial" w:hAnsi="Arial" w:cs="Arial"/>
          <w:b/>
          <w:bCs/>
          <w:color w:val="000000" w:themeColor="text1"/>
        </w:rPr>
        <w:t xml:space="preserve">Suppl. </w:t>
      </w:r>
      <w:r w:rsidRPr="005C6B1A">
        <w:rPr>
          <w:rFonts w:ascii="Arial" w:hAnsi="Arial" w:cs="Arial"/>
          <w:b/>
          <w:bCs/>
        </w:rPr>
        <w:t>Figure S</w:t>
      </w:r>
      <w:r w:rsidR="00A45DE0" w:rsidRPr="005C6B1A">
        <w:rPr>
          <w:rFonts w:ascii="Arial" w:hAnsi="Arial" w:cs="Arial"/>
          <w:b/>
          <w:bCs/>
        </w:rPr>
        <w:t>4</w:t>
      </w:r>
      <w:r w:rsidRPr="005C6B1A">
        <w:rPr>
          <w:rFonts w:ascii="Arial" w:hAnsi="Arial" w:cs="Arial"/>
          <w:b/>
          <w:bCs/>
        </w:rPr>
        <w:t>:</w:t>
      </w:r>
      <w:r w:rsidRPr="005C6B1A">
        <w:rPr>
          <w:rFonts w:ascii="Arial" w:hAnsi="Arial" w:cs="Arial"/>
          <w:b/>
          <w:bCs/>
          <w:i/>
          <w:iCs/>
        </w:rPr>
        <w:t xml:space="preserve"> vglu-2</w:t>
      </w:r>
      <w:r w:rsidRPr="005C6B1A">
        <w:rPr>
          <w:rFonts w:ascii="Arial" w:hAnsi="Arial" w:cs="Arial"/>
          <w:b/>
          <w:bCs/>
        </w:rPr>
        <w:t xml:space="preserve"> expression in AIA is required for normal induction of reversals in response to diacetyl removal. </w:t>
      </w:r>
    </w:p>
    <w:p w14:paraId="51DE1CEA" w14:textId="1F80B244" w:rsidR="002F2CB9" w:rsidRPr="005C6B1A" w:rsidRDefault="5FC86704" w:rsidP="00BE6EA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C6B1A">
        <w:rPr>
          <w:rFonts w:ascii="Arial" w:hAnsi="Arial" w:cs="Arial"/>
        </w:rPr>
        <w:t>Change in cumulative probability of initiating reversals within 5 seconds of diacetyl removal from the indicated concentrations (X-axis) relative to the probability in response to buffer-buffer transitions (control). Error bars are standard deviations. Significance was calculated by bootstrap with FDR correction for multiple hypotheses (concentrations). ns: not significant, * p&lt;0.05, ** p&lt;5x10</w:t>
      </w:r>
      <w:r w:rsidRPr="005C6B1A">
        <w:rPr>
          <w:rFonts w:ascii="Arial" w:hAnsi="Arial" w:cs="Arial"/>
          <w:vertAlign w:val="superscript"/>
        </w:rPr>
        <w:t>-3</w:t>
      </w:r>
      <w:r w:rsidRPr="005C6B1A">
        <w:rPr>
          <w:rFonts w:ascii="Arial" w:hAnsi="Arial" w:cs="Arial"/>
        </w:rPr>
        <w:t>, *** p&lt; 5x10</w:t>
      </w:r>
      <w:r w:rsidRPr="005C6B1A">
        <w:rPr>
          <w:rFonts w:ascii="Arial" w:hAnsi="Arial" w:cs="Arial"/>
          <w:vertAlign w:val="superscript"/>
        </w:rPr>
        <w:t>-5</w:t>
      </w:r>
      <w:r w:rsidRPr="005C6B1A">
        <w:rPr>
          <w:rFonts w:ascii="Arial" w:hAnsi="Arial" w:cs="Arial"/>
        </w:rPr>
        <w:t xml:space="preserve">. See </w:t>
      </w:r>
      <w:r w:rsidRPr="002F2CB9">
        <w:rPr>
          <w:rFonts w:ascii="Arial" w:hAnsi="Arial" w:cs="Arial"/>
          <w:b/>
        </w:rPr>
        <w:t>Fig</w:t>
      </w:r>
      <w:r w:rsidR="00CE3932" w:rsidRPr="002F2CB9">
        <w:rPr>
          <w:rFonts w:ascii="Arial" w:hAnsi="Arial" w:cs="Arial"/>
          <w:b/>
        </w:rPr>
        <w:t>.</w:t>
      </w:r>
      <w:r w:rsidRPr="002F2CB9">
        <w:rPr>
          <w:rFonts w:ascii="Arial" w:hAnsi="Arial" w:cs="Arial"/>
          <w:b/>
        </w:rPr>
        <w:t xml:space="preserve"> </w:t>
      </w:r>
      <w:r w:rsidR="00CE3932" w:rsidRPr="002F2CB9">
        <w:rPr>
          <w:rFonts w:ascii="Arial" w:hAnsi="Arial" w:cs="Arial"/>
          <w:b/>
        </w:rPr>
        <w:t>7</w:t>
      </w:r>
      <w:r w:rsidR="00CE3932" w:rsidRPr="005C6B1A">
        <w:rPr>
          <w:rFonts w:ascii="Arial" w:hAnsi="Arial" w:cs="Arial"/>
        </w:rPr>
        <w:t xml:space="preserve"> </w:t>
      </w:r>
      <w:r w:rsidR="00CE3932">
        <w:rPr>
          <w:rFonts w:ascii="Arial" w:hAnsi="Arial" w:cs="Arial"/>
        </w:rPr>
        <w:t xml:space="preserve">legend </w:t>
      </w:r>
      <w:r w:rsidRPr="005C6B1A">
        <w:rPr>
          <w:rFonts w:ascii="Arial" w:hAnsi="Arial" w:cs="Arial"/>
        </w:rPr>
        <w:t>for number of animals.</w:t>
      </w:r>
      <w:bookmarkStart w:id="0" w:name="_GoBack"/>
      <w:bookmarkEnd w:id="0"/>
    </w:p>
    <w:sectPr w:rsidR="002F2CB9" w:rsidRPr="005C6B1A" w:rsidSect="0061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6526A5A" w15:done="0"/>
  <w15:commentEx w15:paraId="31B08AE2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sther Serrano">
    <w15:presenceInfo w15:providerId="None" w15:userId="Esther Serran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TrackMove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08"/>
    <w:rsid w:val="00005742"/>
    <w:rsid w:val="00052A78"/>
    <w:rsid w:val="00087D2F"/>
    <w:rsid w:val="000938C0"/>
    <w:rsid w:val="000A08ED"/>
    <w:rsid w:val="001124EC"/>
    <w:rsid w:val="001220F4"/>
    <w:rsid w:val="00183157"/>
    <w:rsid w:val="00187A08"/>
    <w:rsid w:val="002F2CB9"/>
    <w:rsid w:val="003033EB"/>
    <w:rsid w:val="003853BD"/>
    <w:rsid w:val="00385FED"/>
    <w:rsid w:val="003E0BDF"/>
    <w:rsid w:val="00444EE4"/>
    <w:rsid w:val="00574C25"/>
    <w:rsid w:val="005A56F6"/>
    <w:rsid w:val="005C6B1A"/>
    <w:rsid w:val="0061725D"/>
    <w:rsid w:val="006A35C1"/>
    <w:rsid w:val="006C5285"/>
    <w:rsid w:val="0070564F"/>
    <w:rsid w:val="00722B02"/>
    <w:rsid w:val="0076233D"/>
    <w:rsid w:val="007C69C5"/>
    <w:rsid w:val="007E6A0E"/>
    <w:rsid w:val="00866705"/>
    <w:rsid w:val="008B4F2E"/>
    <w:rsid w:val="00A45DE0"/>
    <w:rsid w:val="00B807D4"/>
    <w:rsid w:val="00BA20FD"/>
    <w:rsid w:val="00BA7979"/>
    <w:rsid w:val="00BC6044"/>
    <w:rsid w:val="00BD3501"/>
    <w:rsid w:val="00BD6F1C"/>
    <w:rsid w:val="00BE6EA3"/>
    <w:rsid w:val="00C32931"/>
    <w:rsid w:val="00C70DB0"/>
    <w:rsid w:val="00C73B1E"/>
    <w:rsid w:val="00CE3932"/>
    <w:rsid w:val="00D447FD"/>
    <w:rsid w:val="00E660A9"/>
    <w:rsid w:val="00E935D7"/>
    <w:rsid w:val="00EA5105"/>
    <w:rsid w:val="00FC5E59"/>
    <w:rsid w:val="00FE6842"/>
    <w:rsid w:val="5FC86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7C3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A08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A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7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22B02"/>
  </w:style>
  <w:style w:type="character" w:styleId="CommentReference">
    <w:name w:val="annotation reference"/>
    <w:basedOn w:val="DefaultParagraphFont"/>
    <w:uiPriority w:val="99"/>
    <w:semiHidden/>
    <w:unhideWhenUsed/>
    <w:rsid w:val="00E93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5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5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5D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A08"/>
    <w:rPr>
      <w:rFonts w:asciiTheme="minorHAnsi" w:eastAsiaTheme="minorHAnsi" w:hAnsi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2A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A78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22B02"/>
  </w:style>
  <w:style w:type="character" w:styleId="CommentReference">
    <w:name w:val="annotation reference"/>
    <w:basedOn w:val="DefaultParagraphFont"/>
    <w:uiPriority w:val="99"/>
    <w:semiHidden/>
    <w:unhideWhenUsed/>
    <w:rsid w:val="00E935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5D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5D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5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5D7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11/relationships/commentsExtended" Target="commentsExtended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1270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Hobert</dc:creator>
  <cp:keywords/>
  <dc:description/>
  <cp:lastModifiedBy>Oliver Hobert</cp:lastModifiedBy>
  <cp:revision>11</cp:revision>
  <cp:lastPrinted>2019-10-28T14:41:00Z</cp:lastPrinted>
  <dcterms:created xsi:type="dcterms:W3CDTF">2019-10-28T14:52:00Z</dcterms:created>
  <dcterms:modified xsi:type="dcterms:W3CDTF">2019-11-26T19:15:00Z</dcterms:modified>
</cp:coreProperties>
</file>