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66" w:rsidRPr="006860B6" w:rsidRDefault="00621F66" w:rsidP="00621F6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60B6">
        <w:rPr>
          <w:rFonts w:ascii="Times New Roman" w:hAnsi="Times New Roman" w:cs="Times New Roman"/>
          <w:b/>
          <w:sz w:val="24"/>
          <w:szCs w:val="24"/>
        </w:rPr>
        <w:t xml:space="preserve">Figure S1 </w:t>
      </w:r>
      <w:r w:rsidRPr="006860B6">
        <w:rPr>
          <w:rFonts w:ascii="Times New Roman" w:hAnsi="Times New Roman" w:cs="Times New Roman"/>
          <w:sz w:val="24"/>
          <w:szCs w:val="24"/>
        </w:rPr>
        <w:t xml:space="preserve">Molecular phylogeny of the </w:t>
      </w:r>
      <w:proofErr w:type="spellStart"/>
      <w:r w:rsidRPr="006860B6">
        <w:rPr>
          <w:rFonts w:ascii="Times New Roman" w:hAnsi="Times New Roman" w:cs="Times New Roman"/>
          <w:i/>
          <w:sz w:val="24"/>
          <w:szCs w:val="24"/>
        </w:rPr>
        <w:t>kitlg</w:t>
      </w:r>
      <w:proofErr w:type="spellEnd"/>
      <w:r w:rsidRPr="006860B6">
        <w:rPr>
          <w:rFonts w:ascii="Times New Roman" w:hAnsi="Times New Roman" w:cs="Times New Roman"/>
          <w:sz w:val="24"/>
          <w:szCs w:val="24"/>
        </w:rPr>
        <w:t xml:space="preserve"> gene in </w:t>
      </w:r>
      <w:proofErr w:type="spellStart"/>
      <w:r w:rsidRPr="006860B6">
        <w:rPr>
          <w:rFonts w:ascii="Times New Roman" w:hAnsi="Times New Roman" w:cs="Times New Roman"/>
          <w:sz w:val="24"/>
          <w:szCs w:val="24"/>
        </w:rPr>
        <w:t>teleosts</w:t>
      </w:r>
      <w:proofErr w:type="spellEnd"/>
      <w:r w:rsidRPr="006860B6">
        <w:rPr>
          <w:rFonts w:ascii="Times New Roman" w:hAnsi="Times New Roman" w:cs="Times New Roman"/>
          <w:sz w:val="24"/>
          <w:szCs w:val="24"/>
        </w:rPr>
        <w:t xml:space="preserve">. The predicted amino acid sequences of </w:t>
      </w:r>
      <w:proofErr w:type="spellStart"/>
      <w:r w:rsidRPr="006860B6">
        <w:rPr>
          <w:rFonts w:ascii="Times New Roman" w:hAnsi="Times New Roman" w:cs="Times New Roman"/>
          <w:i/>
          <w:sz w:val="24"/>
          <w:szCs w:val="24"/>
        </w:rPr>
        <w:t>kitlg</w:t>
      </w:r>
      <w:proofErr w:type="spellEnd"/>
      <w:r w:rsidRPr="006860B6">
        <w:rPr>
          <w:rFonts w:ascii="Times New Roman" w:hAnsi="Times New Roman" w:cs="Times New Roman"/>
          <w:sz w:val="24"/>
          <w:szCs w:val="24"/>
        </w:rPr>
        <w:t xml:space="preserve"> genes of various species were downloaded from </w:t>
      </w:r>
      <w:proofErr w:type="spellStart"/>
      <w:r w:rsidRPr="006860B6">
        <w:rPr>
          <w:rFonts w:ascii="Times New Roman" w:hAnsi="Times New Roman" w:cs="Times New Roman"/>
          <w:sz w:val="24"/>
          <w:szCs w:val="24"/>
        </w:rPr>
        <w:t>GenBank</w:t>
      </w:r>
      <w:proofErr w:type="spellEnd"/>
      <w:r w:rsidRPr="006860B6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6860B6">
        <w:rPr>
          <w:rFonts w:ascii="Times New Roman" w:hAnsi="Times New Roman" w:cs="Times New Roman"/>
          <w:sz w:val="24"/>
          <w:szCs w:val="24"/>
        </w:rPr>
        <w:t>Ensembl</w:t>
      </w:r>
      <w:proofErr w:type="spellEnd"/>
      <w:r w:rsidRPr="006860B6">
        <w:rPr>
          <w:rFonts w:ascii="Times New Roman" w:hAnsi="Times New Roman" w:cs="Times New Roman"/>
          <w:sz w:val="24"/>
          <w:szCs w:val="24"/>
        </w:rPr>
        <w:t xml:space="preserve"> for construction of a phylogenic tree by the maximum likelihood method with 1000-bootstrap replication. Spotted gar was examined as an outlier. The numbers at each node indicate bootstrap probability. Gene names, species, </w:t>
      </w:r>
      <w:proofErr w:type="spellStart"/>
      <w:r w:rsidRPr="006860B6">
        <w:rPr>
          <w:rFonts w:ascii="Times New Roman" w:hAnsi="Times New Roman" w:cs="Times New Roman"/>
          <w:sz w:val="24"/>
          <w:szCs w:val="24"/>
        </w:rPr>
        <w:t>GenBank</w:t>
      </w:r>
      <w:proofErr w:type="spellEnd"/>
      <w:r w:rsidRPr="006860B6">
        <w:rPr>
          <w:rFonts w:ascii="Times New Roman" w:hAnsi="Times New Roman" w:cs="Times New Roman"/>
          <w:sz w:val="24"/>
          <w:szCs w:val="24"/>
        </w:rPr>
        <w:t xml:space="preserve"> accession numbers or </w:t>
      </w:r>
      <w:proofErr w:type="spellStart"/>
      <w:r w:rsidRPr="006860B6">
        <w:rPr>
          <w:rFonts w:ascii="Times New Roman" w:hAnsi="Times New Roman" w:cs="Times New Roman"/>
          <w:sz w:val="24"/>
          <w:szCs w:val="24"/>
        </w:rPr>
        <w:t>Ensembl</w:t>
      </w:r>
      <w:proofErr w:type="spellEnd"/>
      <w:r w:rsidRPr="006860B6">
        <w:rPr>
          <w:rFonts w:ascii="Times New Roman" w:hAnsi="Times New Roman" w:cs="Times New Roman"/>
          <w:sz w:val="24"/>
          <w:szCs w:val="24"/>
        </w:rPr>
        <w:t xml:space="preserve"> IDs, and amino acid sequences are provided in Table S1. </w:t>
      </w:r>
    </w:p>
    <w:p w:rsidR="00621F66" w:rsidRPr="006860B6" w:rsidRDefault="00621F66" w:rsidP="00621F6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21F66" w:rsidRPr="006860B6" w:rsidRDefault="00621F66" w:rsidP="00621F6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0B6">
        <w:rPr>
          <w:rFonts w:ascii="Times New Roman" w:hAnsi="Times New Roman" w:cs="Times New Roman"/>
          <w:b/>
          <w:sz w:val="24"/>
          <w:szCs w:val="24"/>
        </w:rPr>
        <w:t xml:space="preserve">Figure S2 </w:t>
      </w:r>
      <w:r w:rsidRPr="006860B6">
        <w:rPr>
          <w:rFonts w:ascii="Times New Roman" w:hAnsi="Times New Roman" w:cs="Times New Roman"/>
          <w:sz w:val="24"/>
          <w:szCs w:val="24"/>
        </w:rPr>
        <w:t xml:space="preserve">Reduced expression of pigmentation-related genes in larvae of </w:t>
      </w:r>
      <w:proofErr w:type="spellStart"/>
      <w:r w:rsidRPr="006860B6">
        <w:rPr>
          <w:rFonts w:ascii="Times New Roman" w:hAnsi="Times New Roman" w:cs="Times New Roman"/>
          <w:i/>
          <w:iCs/>
          <w:sz w:val="24"/>
          <w:szCs w:val="24"/>
        </w:rPr>
        <w:t>fm</w:t>
      </w:r>
      <w:proofErr w:type="spellEnd"/>
      <w:r w:rsidRPr="006860B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860B6">
        <w:rPr>
          <w:rFonts w:ascii="Times New Roman" w:hAnsi="Times New Roman" w:cs="Times New Roman"/>
          <w:i/>
          <w:iCs/>
          <w:sz w:val="24"/>
          <w:szCs w:val="24"/>
        </w:rPr>
        <w:t>kitlga</w:t>
      </w:r>
      <w:proofErr w:type="spellEnd"/>
      <w:r w:rsidRPr="006860B6">
        <w:rPr>
          <w:rFonts w:ascii="Times New Roman" w:hAnsi="Times New Roman" w:cs="Times New Roman"/>
          <w:sz w:val="24"/>
          <w:szCs w:val="24"/>
        </w:rPr>
        <w:t xml:space="preserve"> KO </w:t>
      </w:r>
      <w:proofErr w:type="spellStart"/>
      <w:r w:rsidRPr="006860B6">
        <w:rPr>
          <w:rFonts w:ascii="Times New Roman" w:hAnsi="Times New Roman" w:cs="Times New Roman"/>
          <w:sz w:val="24"/>
          <w:szCs w:val="24"/>
        </w:rPr>
        <w:t>medaka</w:t>
      </w:r>
      <w:proofErr w:type="spellEnd"/>
      <w:r w:rsidRPr="006860B6">
        <w:rPr>
          <w:rFonts w:ascii="Times New Roman" w:hAnsi="Times New Roman" w:cs="Times New Roman"/>
          <w:sz w:val="24"/>
          <w:szCs w:val="24"/>
        </w:rPr>
        <w:t xml:space="preserve"> at 3 </w:t>
      </w:r>
      <w:proofErr w:type="spellStart"/>
      <w:r w:rsidRPr="006860B6">
        <w:rPr>
          <w:rFonts w:ascii="Times New Roman" w:hAnsi="Times New Roman" w:cs="Times New Roman"/>
          <w:sz w:val="24"/>
          <w:szCs w:val="24"/>
        </w:rPr>
        <w:t>dph</w:t>
      </w:r>
      <w:proofErr w:type="spellEnd"/>
      <w:r w:rsidRPr="006860B6">
        <w:rPr>
          <w:rFonts w:ascii="Times New Roman" w:hAnsi="Times New Roman" w:cs="Times New Roman"/>
          <w:sz w:val="24"/>
          <w:szCs w:val="24"/>
        </w:rPr>
        <w:t xml:space="preserve">. Total RNA isolated from WT, </w:t>
      </w:r>
      <w:proofErr w:type="spellStart"/>
      <w:r w:rsidRPr="006860B6">
        <w:rPr>
          <w:rFonts w:ascii="Times New Roman" w:hAnsi="Times New Roman" w:cs="Times New Roman"/>
          <w:i/>
          <w:sz w:val="24"/>
          <w:szCs w:val="24"/>
        </w:rPr>
        <w:t>fm</w:t>
      </w:r>
      <w:proofErr w:type="spellEnd"/>
      <w:r w:rsidRPr="006860B6">
        <w:rPr>
          <w:rFonts w:ascii="Times New Roman" w:hAnsi="Times New Roman" w:cs="Times New Roman"/>
          <w:i/>
          <w:sz w:val="24"/>
          <w:szCs w:val="24"/>
        </w:rPr>
        <w:t xml:space="preserve"> het</w:t>
      </w:r>
      <w:r w:rsidRPr="006860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60B6">
        <w:rPr>
          <w:rFonts w:ascii="Times New Roman" w:hAnsi="Times New Roman" w:cs="Times New Roman"/>
          <w:i/>
          <w:iCs/>
          <w:sz w:val="24"/>
          <w:szCs w:val="24"/>
        </w:rPr>
        <w:t>fm</w:t>
      </w:r>
      <w:proofErr w:type="spellEnd"/>
      <w:r w:rsidRPr="006860B6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6860B6">
        <w:rPr>
          <w:rFonts w:ascii="Times New Roman" w:hAnsi="Times New Roman" w:cs="Times New Roman"/>
          <w:i/>
          <w:iCs/>
          <w:sz w:val="24"/>
          <w:szCs w:val="24"/>
        </w:rPr>
        <w:t>kitlga</w:t>
      </w:r>
      <w:proofErr w:type="spellEnd"/>
      <w:r w:rsidRPr="006860B6">
        <w:rPr>
          <w:rFonts w:ascii="Times New Roman" w:hAnsi="Times New Roman" w:cs="Times New Roman"/>
          <w:sz w:val="24"/>
          <w:szCs w:val="24"/>
        </w:rPr>
        <w:t xml:space="preserve"> KO larvae was subjected to RT and real-time PCR analysis of </w:t>
      </w:r>
      <w:r w:rsidRPr="006860B6">
        <w:rPr>
          <w:rFonts w:ascii="Times New Roman" w:hAnsi="Times New Roman" w:cs="Times New Roman"/>
          <w:i/>
          <w:iCs/>
          <w:sz w:val="24"/>
          <w:szCs w:val="24"/>
        </w:rPr>
        <w:t>pax7a</w:t>
      </w:r>
      <w:r w:rsidRPr="006860B6">
        <w:rPr>
          <w:rFonts w:ascii="Times New Roman" w:hAnsi="Times New Roman" w:cs="Times New Roman"/>
          <w:sz w:val="24"/>
          <w:szCs w:val="24"/>
        </w:rPr>
        <w:t xml:space="preserve"> (A), </w:t>
      </w:r>
      <w:r w:rsidRPr="006860B6">
        <w:rPr>
          <w:rFonts w:ascii="Times New Roman" w:hAnsi="Times New Roman" w:cs="Times New Roman"/>
          <w:i/>
          <w:iCs/>
          <w:sz w:val="24"/>
          <w:szCs w:val="24"/>
        </w:rPr>
        <w:t>sox5</w:t>
      </w:r>
      <w:r w:rsidRPr="006860B6">
        <w:rPr>
          <w:rFonts w:ascii="Times New Roman" w:hAnsi="Times New Roman" w:cs="Times New Roman"/>
          <w:sz w:val="24"/>
          <w:szCs w:val="24"/>
        </w:rPr>
        <w:t xml:space="preserve"> (B), </w:t>
      </w:r>
      <w:r w:rsidRPr="006860B6">
        <w:rPr>
          <w:rFonts w:ascii="Times New Roman" w:hAnsi="Times New Roman" w:cs="Times New Roman"/>
          <w:i/>
          <w:iCs/>
          <w:sz w:val="24"/>
          <w:szCs w:val="24"/>
        </w:rPr>
        <w:t>pax3a</w:t>
      </w:r>
      <w:r w:rsidRPr="006860B6">
        <w:rPr>
          <w:rFonts w:ascii="Times New Roman" w:hAnsi="Times New Roman" w:cs="Times New Roman"/>
          <w:sz w:val="24"/>
          <w:szCs w:val="24"/>
        </w:rPr>
        <w:t xml:space="preserve"> (C), and </w:t>
      </w:r>
      <w:proofErr w:type="spellStart"/>
      <w:r w:rsidRPr="006860B6">
        <w:rPr>
          <w:rFonts w:ascii="Times New Roman" w:hAnsi="Times New Roman" w:cs="Times New Roman"/>
          <w:i/>
          <w:iCs/>
          <w:sz w:val="24"/>
          <w:szCs w:val="24"/>
        </w:rPr>
        <w:t>mitfa</w:t>
      </w:r>
      <w:proofErr w:type="spellEnd"/>
      <w:r w:rsidRPr="006860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860B6">
        <w:rPr>
          <w:rFonts w:ascii="Times New Roman" w:hAnsi="Times New Roman" w:cs="Times New Roman"/>
          <w:sz w:val="24"/>
          <w:szCs w:val="24"/>
        </w:rPr>
        <w:t xml:space="preserve">(D) expression. Data were normalized by the amount of GAPDH mRNA and Data are means </w:t>
      </w:r>
      <w:r w:rsidRPr="006860B6">
        <w:rPr>
          <w:rFonts w:ascii="Times New Roman" w:hAnsi="Times New Roman" w:cs="Times New Roman"/>
          <w:sz w:val="24"/>
          <w:szCs w:val="24"/>
        </w:rPr>
        <w:sym w:font="Symbol" w:char="F0B1"/>
      </w:r>
      <w:r w:rsidRPr="006860B6">
        <w:rPr>
          <w:rFonts w:ascii="Times New Roman" w:hAnsi="Times New Roman" w:cs="Times New Roman"/>
          <w:sz w:val="24"/>
          <w:szCs w:val="24"/>
        </w:rPr>
        <w:t xml:space="preserve"> 95% confidence interval from three independent experiments. The </w:t>
      </w:r>
      <w:r w:rsidRPr="006860B6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6860B6">
        <w:rPr>
          <w:rFonts w:ascii="Times New Roman" w:hAnsi="Times New Roman" w:cs="Times New Roman"/>
          <w:sz w:val="24"/>
          <w:szCs w:val="24"/>
        </w:rPr>
        <w:t xml:space="preserve"> values were determined by one-way ANOVA followed by </w:t>
      </w:r>
      <w:r w:rsidRPr="006860B6">
        <w:rPr>
          <w:rFonts w:ascii="Times New Roman" w:eastAsia="TimesLTStd-Roman" w:hAnsi="Times New Roman" w:cs="Times New Roman"/>
          <w:sz w:val="24"/>
          <w:szCs w:val="24"/>
        </w:rPr>
        <w:t>Tukey’s</w:t>
      </w:r>
      <w:r w:rsidRPr="006860B6">
        <w:rPr>
          <w:rFonts w:ascii="Times New Roman" w:hAnsi="Times New Roman" w:cs="Times New Roman"/>
          <w:sz w:val="24"/>
          <w:szCs w:val="24"/>
        </w:rPr>
        <w:t xml:space="preserve"> post hoc test.</w:t>
      </w:r>
    </w:p>
    <w:p w:rsidR="00621F66" w:rsidRPr="006860B6" w:rsidRDefault="00621F66" w:rsidP="00621F6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21F66" w:rsidRPr="005D4A2D" w:rsidRDefault="00621F66" w:rsidP="00621F6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60B6">
        <w:rPr>
          <w:rFonts w:ascii="Times New Roman" w:hAnsi="Times New Roman" w:cs="Times New Roman"/>
          <w:b/>
          <w:sz w:val="24"/>
          <w:szCs w:val="24"/>
        </w:rPr>
        <w:t>Figure S3</w:t>
      </w:r>
      <w:r w:rsidRPr="006860B6">
        <w:rPr>
          <w:rFonts w:ascii="Times New Roman" w:hAnsi="Times New Roman" w:cs="Times New Roman"/>
          <w:sz w:val="24"/>
          <w:szCs w:val="24"/>
        </w:rPr>
        <w:t xml:space="preserve"> Model for </w:t>
      </w:r>
      <w:proofErr w:type="spellStart"/>
      <w:r w:rsidRPr="006860B6">
        <w:rPr>
          <w:rFonts w:ascii="Times New Roman" w:hAnsi="Times New Roman" w:cs="Times New Roman"/>
          <w:sz w:val="24"/>
          <w:szCs w:val="24"/>
        </w:rPr>
        <w:t>chromatophore</w:t>
      </w:r>
      <w:proofErr w:type="spellEnd"/>
      <w:r w:rsidRPr="006860B6">
        <w:rPr>
          <w:rFonts w:ascii="Times New Roman" w:hAnsi="Times New Roman" w:cs="Times New Roman"/>
          <w:sz w:val="24"/>
          <w:szCs w:val="24"/>
        </w:rPr>
        <w:t xml:space="preserve"> differentiation, proliferation, and migration from the neural crest. </w:t>
      </w:r>
      <w:proofErr w:type="spellStart"/>
      <w:r w:rsidRPr="006860B6">
        <w:rPr>
          <w:rFonts w:ascii="Times New Roman" w:hAnsi="Times New Roman" w:cs="Times New Roman"/>
          <w:sz w:val="24"/>
          <w:szCs w:val="24"/>
        </w:rPr>
        <w:t>Melanophores</w:t>
      </w:r>
      <w:proofErr w:type="spellEnd"/>
      <w:r w:rsidRPr="006860B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860B6">
        <w:rPr>
          <w:rFonts w:ascii="Times New Roman" w:hAnsi="Times New Roman" w:cs="Times New Roman"/>
          <w:sz w:val="24"/>
          <w:szCs w:val="24"/>
        </w:rPr>
        <w:t>iridophores</w:t>
      </w:r>
      <w:proofErr w:type="spellEnd"/>
      <w:r w:rsidRPr="006860B6">
        <w:rPr>
          <w:rFonts w:ascii="Times New Roman" w:hAnsi="Times New Roman" w:cs="Times New Roman"/>
          <w:sz w:val="24"/>
          <w:szCs w:val="24"/>
        </w:rPr>
        <w:t xml:space="preserve"> develop from a shared progenitor, as do </w:t>
      </w:r>
      <w:proofErr w:type="spellStart"/>
      <w:r w:rsidRPr="006860B6">
        <w:rPr>
          <w:rFonts w:ascii="Times New Roman" w:hAnsi="Times New Roman" w:cs="Times New Roman"/>
          <w:sz w:val="24"/>
          <w:szCs w:val="24"/>
        </w:rPr>
        <w:t>xanthophores</w:t>
      </w:r>
      <w:proofErr w:type="spellEnd"/>
      <w:r w:rsidRPr="006860B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860B6">
        <w:rPr>
          <w:rFonts w:ascii="Times New Roman" w:hAnsi="Times New Roman" w:cs="Times New Roman"/>
          <w:sz w:val="24"/>
          <w:szCs w:val="24"/>
        </w:rPr>
        <w:t>leucophores</w:t>
      </w:r>
      <w:proofErr w:type="spellEnd"/>
      <w:r w:rsidRPr="006860B6">
        <w:rPr>
          <w:rFonts w:ascii="Times New Roman" w:hAnsi="Times New Roman" w:cs="Times New Roman"/>
          <w:sz w:val="24"/>
          <w:szCs w:val="24"/>
        </w:rPr>
        <w:t xml:space="preserve">. We propose that the proliferation and migration of </w:t>
      </w:r>
      <w:proofErr w:type="spellStart"/>
      <w:r w:rsidRPr="006860B6">
        <w:rPr>
          <w:rFonts w:ascii="Times New Roman" w:hAnsi="Times New Roman" w:cs="Times New Roman"/>
          <w:sz w:val="24"/>
          <w:szCs w:val="24"/>
        </w:rPr>
        <w:t>leucophores</w:t>
      </w:r>
      <w:proofErr w:type="spellEnd"/>
      <w:r w:rsidRPr="006860B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860B6">
        <w:rPr>
          <w:rFonts w:ascii="Times New Roman" w:hAnsi="Times New Roman" w:cs="Times New Roman"/>
          <w:sz w:val="24"/>
          <w:szCs w:val="24"/>
        </w:rPr>
        <w:t>melanophores</w:t>
      </w:r>
      <w:proofErr w:type="spellEnd"/>
      <w:r w:rsidRPr="006860B6">
        <w:rPr>
          <w:rFonts w:ascii="Times New Roman" w:hAnsi="Times New Roman" w:cs="Times New Roman"/>
          <w:sz w:val="24"/>
          <w:szCs w:val="24"/>
        </w:rPr>
        <w:t xml:space="preserve"> are regulated by c-Kit signaling, whereas the development of </w:t>
      </w:r>
      <w:proofErr w:type="spellStart"/>
      <w:r w:rsidRPr="006860B6">
        <w:rPr>
          <w:rFonts w:ascii="Times New Roman" w:hAnsi="Times New Roman" w:cs="Times New Roman"/>
          <w:sz w:val="24"/>
          <w:szCs w:val="24"/>
        </w:rPr>
        <w:t>iridophores</w:t>
      </w:r>
      <w:proofErr w:type="spellEnd"/>
      <w:r w:rsidRPr="006860B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860B6">
        <w:rPr>
          <w:rFonts w:ascii="Times New Roman" w:hAnsi="Times New Roman" w:cs="Times New Roman"/>
          <w:sz w:val="24"/>
          <w:szCs w:val="24"/>
        </w:rPr>
        <w:t>xanthophores</w:t>
      </w:r>
      <w:proofErr w:type="spellEnd"/>
      <w:r w:rsidRPr="006860B6">
        <w:rPr>
          <w:rFonts w:ascii="Times New Roman" w:hAnsi="Times New Roman" w:cs="Times New Roman"/>
          <w:sz w:val="24"/>
          <w:szCs w:val="24"/>
        </w:rPr>
        <w:t xml:space="preserve"> are thought to be regulated by </w:t>
      </w:r>
      <w:proofErr w:type="spellStart"/>
      <w:r w:rsidRPr="006860B6">
        <w:rPr>
          <w:rFonts w:ascii="Times New Roman" w:hAnsi="Times New Roman" w:cs="Times New Roman"/>
          <w:sz w:val="24"/>
          <w:szCs w:val="24"/>
        </w:rPr>
        <w:t>Alk-Ltk</w:t>
      </w:r>
      <w:proofErr w:type="spellEnd"/>
      <w:r w:rsidRPr="006860B6">
        <w:rPr>
          <w:rFonts w:ascii="Times New Roman" w:hAnsi="Times New Roman" w:cs="Times New Roman"/>
          <w:sz w:val="24"/>
          <w:szCs w:val="24"/>
        </w:rPr>
        <w:t xml:space="preserve"> signaling and Csf1 signaling, respectively.</w:t>
      </w:r>
    </w:p>
    <w:p w:rsidR="00621F66" w:rsidRDefault="00621F66"/>
    <w:sectPr w:rsidR="00621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Std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66"/>
    <w:rsid w:val="000D4730"/>
    <w:rsid w:val="0024608F"/>
    <w:rsid w:val="00621F66"/>
    <w:rsid w:val="007079F0"/>
    <w:rsid w:val="00D6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Office Word</Application>
  <DocSecurity>0</DocSecurity>
  <Lines>10</Lines>
  <Paragraphs>2</Paragraphs>
  <ScaleCrop>false</ScaleCrop>
  <Company>Microsoft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 Editor</dc:creator>
  <cp:lastModifiedBy>Copy Editor</cp:lastModifiedBy>
  <cp:revision>2</cp:revision>
  <dcterms:created xsi:type="dcterms:W3CDTF">2019-11-22T16:20:00Z</dcterms:created>
  <dcterms:modified xsi:type="dcterms:W3CDTF">2019-11-22T16:21:00Z</dcterms:modified>
</cp:coreProperties>
</file>