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A17" w:rsidRDefault="00202A17" w:rsidP="00202A17">
      <w:pPr>
        <w:spacing w:line="480" w:lineRule="auto"/>
        <w:rPr>
          <w:b/>
          <w:iCs/>
        </w:rPr>
      </w:pPr>
      <w:r>
        <w:rPr>
          <w:b/>
          <w:iCs/>
        </w:rPr>
        <w:t>Supplementary Figures:</w:t>
      </w:r>
      <w:bookmarkStart w:id="0" w:name="_GoBack"/>
      <w:bookmarkEnd w:id="0"/>
    </w:p>
    <w:p w:rsidR="00202A17" w:rsidRDefault="00202A17" w:rsidP="00202A17">
      <w:pPr>
        <w:spacing w:line="480" w:lineRule="auto"/>
        <w:rPr>
          <w:b/>
          <w:iCs/>
        </w:rPr>
      </w:pPr>
    </w:p>
    <w:p w:rsidR="00202A17" w:rsidRPr="00B56856" w:rsidRDefault="00202A17" w:rsidP="00202A17">
      <w:pPr>
        <w:spacing w:line="480" w:lineRule="auto"/>
        <w:rPr>
          <w:bCs/>
          <w:i/>
          <w:iCs/>
        </w:rPr>
      </w:pPr>
      <w:r w:rsidRPr="00E548C9">
        <w:rPr>
          <w:b/>
          <w:iCs/>
        </w:rPr>
        <w:t>Supplementary Fig. S</w:t>
      </w:r>
      <w:r>
        <w:rPr>
          <w:b/>
          <w:iCs/>
        </w:rPr>
        <w:t>1</w:t>
      </w:r>
      <w:r w:rsidRPr="00E548C9">
        <w:rPr>
          <w:b/>
          <w:iCs/>
        </w:rPr>
        <w:t xml:space="preserve">: </w:t>
      </w:r>
      <w:r>
        <w:rPr>
          <w:iCs/>
        </w:rPr>
        <w:t xml:space="preserve"> </w:t>
      </w:r>
      <w:r>
        <w:rPr>
          <w:i/>
          <w:iCs/>
        </w:rPr>
        <w:t xml:space="preserve">Separate red, green and merged images </w:t>
      </w:r>
      <w:r w:rsidRPr="00452A4E">
        <w:rPr>
          <w:i/>
          <w:iCs/>
        </w:rPr>
        <w:t>RIM20</w:t>
      </w:r>
      <w:r>
        <w:rPr>
          <w:iCs/>
        </w:rPr>
        <w:t xml:space="preserve">-GFP </w:t>
      </w:r>
      <w:r w:rsidRPr="00723F7D">
        <w:rPr>
          <w:i/>
        </w:rPr>
        <w:t>prIME1</w:t>
      </w:r>
      <w:r>
        <w:rPr>
          <w:i/>
          <w:iCs/>
        </w:rPr>
        <w:t>-</w:t>
      </w:r>
      <w:r w:rsidRPr="00452A4E">
        <w:rPr>
          <w:iCs/>
        </w:rPr>
        <w:t>m</w:t>
      </w:r>
      <w:r w:rsidRPr="00616542">
        <w:rPr>
          <w:iCs/>
        </w:rPr>
        <w:t>Cherry</w:t>
      </w:r>
      <w:r>
        <w:rPr>
          <w:i/>
          <w:iCs/>
        </w:rPr>
        <w:t xml:space="preserve"> colony section.</w:t>
      </w:r>
      <w:r>
        <w:rPr>
          <w:iCs/>
        </w:rPr>
        <w:t xml:space="preserve">  Colony image shown in left panel of Fig 1D are shown with mCherry image (left), Rim20-GFP image (center), and merged images (right).  </w:t>
      </w:r>
    </w:p>
    <w:p w:rsidR="00202A17" w:rsidRDefault="00202A17" w:rsidP="00202A17">
      <w:pPr>
        <w:spacing w:line="480" w:lineRule="auto"/>
        <w:rPr>
          <w:b/>
          <w:iCs/>
        </w:rPr>
      </w:pPr>
    </w:p>
    <w:p w:rsidR="00202A17" w:rsidRDefault="00202A17" w:rsidP="00202A17">
      <w:pPr>
        <w:spacing w:line="480" w:lineRule="auto"/>
        <w:rPr>
          <w:iCs/>
        </w:rPr>
      </w:pPr>
      <w:r w:rsidRPr="00E548C9">
        <w:rPr>
          <w:b/>
          <w:iCs/>
        </w:rPr>
        <w:t>Supplementary Fig. S</w:t>
      </w:r>
      <w:r>
        <w:rPr>
          <w:b/>
          <w:iCs/>
        </w:rPr>
        <w:t>2</w:t>
      </w:r>
      <w:r w:rsidRPr="00E548C9">
        <w:rPr>
          <w:b/>
          <w:iCs/>
        </w:rPr>
        <w:t xml:space="preserve">: </w:t>
      </w:r>
      <w:r>
        <w:rPr>
          <w:iCs/>
        </w:rPr>
        <w:t xml:space="preserve"> Summary of individual experiments in this study, with the corresponding figures indicated.  The straight arrow symbol (blue) represents activation, the T-bar symbol (red) represents repression, and the wavy arrow symbol (black) represents no effect.  Autonomous or nonautonomous regulation is represented respectively by an “A” or an “NA” adjacent to the symbol.</w:t>
      </w:r>
    </w:p>
    <w:p w:rsidR="00202A17" w:rsidRPr="00260381" w:rsidRDefault="00202A17" w:rsidP="00202A17">
      <w:pPr>
        <w:spacing w:line="480" w:lineRule="auto"/>
        <w:ind w:firstLine="720"/>
        <w:rPr>
          <w:iCs/>
        </w:rPr>
      </w:pPr>
      <w:r>
        <w:rPr>
          <w:iCs/>
        </w:rPr>
        <w:t xml:space="preserve"> </w:t>
      </w:r>
    </w:p>
    <w:p w:rsidR="00202A17" w:rsidRDefault="00202A17" w:rsidP="00202A17">
      <w:pPr>
        <w:spacing w:line="480" w:lineRule="auto"/>
        <w:rPr>
          <w:iCs/>
        </w:rPr>
      </w:pPr>
      <w:r w:rsidRPr="0077409A">
        <w:rPr>
          <w:b/>
          <w:iCs/>
        </w:rPr>
        <w:t xml:space="preserve">Supplementary Fig. </w:t>
      </w:r>
      <w:r>
        <w:rPr>
          <w:b/>
          <w:iCs/>
        </w:rPr>
        <w:t>S3</w:t>
      </w:r>
      <w:r w:rsidRPr="0077409A">
        <w:rPr>
          <w:b/>
          <w:iCs/>
        </w:rPr>
        <w:t>:</w:t>
      </w:r>
      <w:r>
        <w:rPr>
          <w:b/>
          <w:iCs/>
        </w:rPr>
        <w:t xml:space="preserve"> </w:t>
      </w:r>
      <w:r>
        <w:rPr>
          <w:iCs/>
        </w:rPr>
        <w:t xml:space="preserve">Effect of pH on the fraction of cells in colony that activate </w:t>
      </w:r>
      <w:r>
        <w:rPr>
          <w:i/>
          <w:iCs/>
        </w:rPr>
        <w:t xml:space="preserve">IME1 </w:t>
      </w:r>
      <w:r>
        <w:rPr>
          <w:iCs/>
        </w:rPr>
        <w:t xml:space="preserve">transcription and the fraction that form Rim20 foci.  A strain containing both </w:t>
      </w:r>
      <w:r>
        <w:rPr>
          <w:i/>
          <w:iCs/>
        </w:rPr>
        <w:t>RIM20-</w:t>
      </w:r>
      <w:r w:rsidRPr="00723F7D">
        <w:t>GFP</w:t>
      </w:r>
      <w:r>
        <w:rPr>
          <w:i/>
          <w:iCs/>
        </w:rPr>
        <w:t xml:space="preserve"> </w:t>
      </w:r>
      <w:r>
        <w:rPr>
          <w:iCs/>
        </w:rPr>
        <w:t xml:space="preserve">and </w:t>
      </w:r>
      <w:r w:rsidRPr="00C57F88">
        <w:rPr>
          <w:i/>
          <w:iCs/>
        </w:rPr>
        <w:t>prIME1-</w:t>
      </w:r>
      <w:r w:rsidRPr="00FA5C13">
        <w:rPr>
          <w:iCs/>
        </w:rPr>
        <w:t>mCherry</w:t>
      </w:r>
      <w:r>
        <w:rPr>
          <w:iCs/>
        </w:rPr>
        <w:t xml:space="preserve"> (SH5252) was incubated as spot colonies on Sp6 (pH 6.0) medium (blue) or Sp6 (pH 8.0) medium (black) for 4 days, colonies were resuspended and examined by microscope to determine the fraction that form Rim20-GFP foci (left two columns) and the fraction that express </w:t>
      </w:r>
      <w:r w:rsidRPr="00723F7D">
        <w:rPr>
          <w:i/>
        </w:rPr>
        <w:t>prIME1</w:t>
      </w:r>
      <w:r>
        <w:rPr>
          <w:iCs/>
        </w:rPr>
        <w:t xml:space="preserve">-mCherry (right two columns). </w:t>
      </w:r>
    </w:p>
    <w:p w:rsidR="00202A17" w:rsidRDefault="00202A17" w:rsidP="00202A17">
      <w:pPr>
        <w:spacing w:line="480" w:lineRule="auto"/>
        <w:rPr>
          <w:iCs/>
        </w:rPr>
      </w:pPr>
    </w:p>
    <w:p w:rsidR="00202A17" w:rsidRPr="0022097E" w:rsidRDefault="00202A17" w:rsidP="00202A17">
      <w:pPr>
        <w:spacing w:line="480" w:lineRule="auto"/>
        <w:rPr>
          <w:iCs/>
        </w:rPr>
      </w:pPr>
      <w:r w:rsidRPr="0077409A">
        <w:rPr>
          <w:b/>
          <w:iCs/>
        </w:rPr>
        <w:t xml:space="preserve">Supplementary Fig. </w:t>
      </w:r>
      <w:r>
        <w:rPr>
          <w:b/>
          <w:iCs/>
        </w:rPr>
        <w:t>S4</w:t>
      </w:r>
      <w:r w:rsidRPr="0077409A">
        <w:rPr>
          <w:b/>
          <w:iCs/>
        </w:rPr>
        <w:t>:</w:t>
      </w:r>
      <w:r>
        <w:rPr>
          <w:b/>
          <w:iCs/>
        </w:rPr>
        <w:t xml:space="preserve"> </w:t>
      </w:r>
      <w:r>
        <w:rPr>
          <w:iCs/>
        </w:rPr>
        <w:t>Effect of pH on UAS</w:t>
      </w:r>
      <w:r>
        <w:rPr>
          <w:iCs/>
          <w:vertAlign w:val="subscript"/>
        </w:rPr>
        <w:t>Rlm1</w:t>
      </w:r>
      <w:r>
        <w:rPr>
          <w:iCs/>
        </w:rPr>
        <w:t xml:space="preserve">-LacZ expression in </w:t>
      </w:r>
      <w:r>
        <w:rPr>
          <w:i/>
          <w:iCs/>
        </w:rPr>
        <w:t xml:space="preserve">RIM101 </w:t>
      </w:r>
      <w:r>
        <w:rPr>
          <w:iCs/>
        </w:rPr>
        <w:t xml:space="preserve">and </w:t>
      </w:r>
      <w:r w:rsidRPr="009A1972">
        <w:rPr>
          <w:i/>
          <w:iCs/>
        </w:rPr>
        <w:t>rim101</w:t>
      </w:r>
      <w:r w:rsidRPr="009A1972">
        <w:rPr>
          <w:rFonts w:ascii="Symbol" w:hAnsi="Symbol"/>
          <w:i/>
          <w:iCs/>
        </w:rPr>
        <w:t></w:t>
      </w:r>
      <w:r>
        <w:rPr>
          <w:rFonts w:ascii="Symbol" w:hAnsi="Symbol"/>
          <w:i/>
          <w:iCs/>
        </w:rPr>
        <w:t></w:t>
      </w:r>
      <w:r>
        <w:rPr>
          <w:iCs/>
        </w:rPr>
        <w:t xml:space="preserve">strains.  </w:t>
      </w:r>
      <w:r>
        <w:rPr>
          <w:i/>
          <w:iCs/>
        </w:rPr>
        <w:t>RIM101 ime1</w:t>
      </w:r>
      <w:r w:rsidRPr="004F7707">
        <w:rPr>
          <w:rFonts w:ascii="Symbol" w:hAnsi="Symbol"/>
          <w:i/>
          <w:iCs/>
        </w:rPr>
        <w:t></w:t>
      </w:r>
      <w:r>
        <w:rPr>
          <w:i/>
          <w:iCs/>
        </w:rPr>
        <w:t xml:space="preserve"> </w:t>
      </w:r>
      <w:r>
        <w:rPr>
          <w:iCs/>
        </w:rPr>
        <w:t>pUAS</w:t>
      </w:r>
      <w:r>
        <w:rPr>
          <w:iCs/>
          <w:vertAlign w:val="subscript"/>
        </w:rPr>
        <w:t>Rlm1</w:t>
      </w:r>
      <w:r>
        <w:rPr>
          <w:iCs/>
        </w:rPr>
        <w:t xml:space="preserve">-LacZ (SH5408, left two bars) and </w:t>
      </w:r>
      <w:r>
        <w:rPr>
          <w:i/>
          <w:iCs/>
        </w:rPr>
        <w:t>rim101</w:t>
      </w:r>
      <w:r w:rsidRPr="004F7707">
        <w:rPr>
          <w:rFonts w:ascii="Symbol" w:hAnsi="Symbol"/>
          <w:i/>
          <w:iCs/>
        </w:rPr>
        <w:t></w:t>
      </w:r>
      <w:r>
        <w:rPr>
          <w:i/>
          <w:iCs/>
        </w:rPr>
        <w:t xml:space="preserve"> ime1</w:t>
      </w:r>
      <w:r w:rsidRPr="004F7707">
        <w:rPr>
          <w:rFonts w:ascii="Symbol" w:hAnsi="Symbol"/>
          <w:i/>
          <w:iCs/>
        </w:rPr>
        <w:t></w:t>
      </w:r>
      <w:r>
        <w:rPr>
          <w:iCs/>
        </w:rPr>
        <w:t xml:space="preserve"> pUAS</w:t>
      </w:r>
      <w:r>
        <w:rPr>
          <w:iCs/>
          <w:vertAlign w:val="subscript"/>
        </w:rPr>
        <w:t>Rlm1</w:t>
      </w:r>
      <w:r>
        <w:rPr>
          <w:iCs/>
        </w:rPr>
        <w:t>-LacZ (SH5487, right two bars) strains were inoculated at 1 X 10</w:t>
      </w:r>
      <w:r>
        <w:rPr>
          <w:iCs/>
          <w:vertAlign w:val="superscript"/>
        </w:rPr>
        <w:t>8</w:t>
      </w:r>
      <w:r>
        <w:rPr>
          <w:iCs/>
        </w:rPr>
        <w:t xml:space="preserve"> cells/ ml into Sp6 buffered to either pH 7.0 (blue) or pH 9 (black) with100 mM Tris-HCl.  Suspended cultures were </w:t>
      </w:r>
      <w:r>
        <w:rPr>
          <w:iCs/>
        </w:rPr>
        <w:lastRenderedPageBreak/>
        <w:t xml:space="preserve">incubated for 14 hours at 30°, then 100 </w:t>
      </w:r>
      <w:r w:rsidRPr="00ED3431">
        <w:rPr>
          <w:rFonts w:ascii="Symbol" w:hAnsi="Symbol"/>
          <w:iCs/>
        </w:rPr>
        <w:t></w:t>
      </w:r>
      <w:r>
        <w:rPr>
          <w:iCs/>
        </w:rPr>
        <w:t xml:space="preserve">l samples were stained with FDG (see Methods) and examined by microscope for green fluorescence (n=3).  Columns 1 and 2 are significantly different ( P = 0.02, paired t-test).  </w:t>
      </w:r>
    </w:p>
    <w:p w:rsidR="00202A17" w:rsidRDefault="00202A17" w:rsidP="00202A17">
      <w:pPr>
        <w:spacing w:line="480" w:lineRule="auto"/>
        <w:rPr>
          <w:iCs/>
        </w:rPr>
      </w:pPr>
    </w:p>
    <w:p w:rsidR="00202A17" w:rsidRDefault="00202A17" w:rsidP="00202A17">
      <w:pPr>
        <w:spacing w:line="480" w:lineRule="auto"/>
        <w:rPr>
          <w:rFonts w:cstheme="minorHAnsi"/>
          <w:iCs/>
        </w:rPr>
      </w:pPr>
      <w:r w:rsidRPr="0077409A">
        <w:rPr>
          <w:b/>
          <w:iCs/>
        </w:rPr>
        <w:t xml:space="preserve">Supplementary Fig. </w:t>
      </w:r>
      <w:r>
        <w:rPr>
          <w:b/>
          <w:iCs/>
        </w:rPr>
        <w:t>S5</w:t>
      </w:r>
      <w:r w:rsidRPr="0077409A">
        <w:rPr>
          <w:b/>
          <w:iCs/>
        </w:rPr>
        <w:t>:</w:t>
      </w:r>
      <w:r>
        <w:rPr>
          <w:b/>
          <w:iCs/>
        </w:rPr>
        <w:t xml:space="preserve"> </w:t>
      </w:r>
      <w:r>
        <w:rPr>
          <w:iCs/>
        </w:rPr>
        <w:t xml:space="preserve">Chimeric colony assay measuring effect of </w:t>
      </w:r>
      <w:r>
        <w:rPr>
          <w:i/>
          <w:iCs/>
        </w:rPr>
        <w:t xml:space="preserve">RIM101 </w:t>
      </w:r>
      <w:r>
        <w:rPr>
          <w:iCs/>
        </w:rPr>
        <w:t xml:space="preserve">on </w:t>
      </w:r>
      <w:r>
        <w:rPr>
          <w:i/>
          <w:iCs/>
        </w:rPr>
        <w:t>ime2</w:t>
      </w:r>
      <w:r w:rsidRPr="00943563">
        <w:rPr>
          <w:rFonts w:ascii="Symbol" w:hAnsi="Symbol"/>
          <w:i/>
          <w:iCs/>
        </w:rPr>
        <w:t></w:t>
      </w:r>
      <w:r>
        <w:rPr>
          <w:i/>
          <w:iCs/>
        </w:rPr>
        <w:t>-</w:t>
      </w:r>
      <w:r>
        <w:rPr>
          <w:iCs/>
        </w:rPr>
        <w:t xml:space="preserve">GFP expression.  Pure colonies of </w:t>
      </w:r>
      <w:r>
        <w:rPr>
          <w:i/>
          <w:iCs/>
        </w:rPr>
        <w:t>ime2</w:t>
      </w:r>
      <w:r w:rsidRPr="00943563">
        <w:rPr>
          <w:rFonts w:ascii="Symbol" w:hAnsi="Symbol"/>
          <w:i/>
          <w:iCs/>
        </w:rPr>
        <w:t></w:t>
      </w:r>
      <w:r>
        <w:rPr>
          <w:i/>
          <w:iCs/>
        </w:rPr>
        <w:t>-</w:t>
      </w:r>
      <w:r>
        <w:rPr>
          <w:iCs/>
        </w:rPr>
        <w:t>GFP that were</w:t>
      </w:r>
      <w:r>
        <w:rPr>
          <w:i/>
          <w:iCs/>
        </w:rPr>
        <w:t xml:space="preserve"> </w:t>
      </w:r>
      <w:r w:rsidRPr="00E1216C">
        <w:rPr>
          <w:i/>
          <w:iCs/>
        </w:rPr>
        <w:t>RIM101</w:t>
      </w:r>
      <w:r>
        <w:rPr>
          <w:i/>
          <w:iCs/>
        </w:rPr>
        <w:t xml:space="preserve"> (WT) </w:t>
      </w:r>
      <w:r>
        <w:rPr>
          <w:iCs/>
        </w:rPr>
        <w:t xml:space="preserve">(blue, SH5420) or </w:t>
      </w:r>
      <w:r w:rsidRPr="009A1972">
        <w:rPr>
          <w:i/>
          <w:iCs/>
        </w:rPr>
        <w:t>rim101</w:t>
      </w:r>
      <w:r w:rsidRPr="009A1972">
        <w:rPr>
          <w:rFonts w:ascii="Symbol" w:hAnsi="Symbol"/>
          <w:i/>
          <w:iCs/>
        </w:rPr>
        <w:t></w:t>
      </w:r>
      <w:r>
        <w:rPr>
          <w:rFonts w:ascii="Symbol" w:hAnsi="Symbol"/>
          <w:i/>
          <w:iCs/>
        </w:rPr>
        <w:t></w:t>
      </w:r>
      <w:r w:rsidRPr="001E089E">
        <w:rPr>
          <w:i/>
          <w:iCs/>
        </w:rPr>
        <w:t xml:space="preserve"> </w:t>
      </w:r>
      <w:r>
        <w:rPr>
          <w:rFonts w:ascii="Symbol" w:hAnsi="Symbol"/>
          <w:iCs/>
        </w:rPr>
        <w:t></w:t>
      </w:r>
      <w:r>
        <w:rPr>
          <w:rFonts w:cstheme="minorHAnsi"/>
          <w:iCs/>
        </w:rPr>
        <w:t xml:space="preserve">black, SH5765) and chimeric colonies containing a </w:t>
      </w:r>
      <w:r w:rsidRPr="009A1972">
        <w:rPr>
          <w:i/>
          <w:iCs/>
        </w:rPr>
        <w:t>rim101</w:t>
      </w:r>
      <w:r w:rsidRPr="009A1972">
        <w:rPr>
          <w:rFonts w:ascii="Symbol" w:hAnsi="Symbol"/>
          <w:i/>
          <w:iCs/>
        </w:rPr>
        <w:t></w:t>
      </w:r>
      <w:r>
        <w:rPr>
          <w:rFonts w:ascii="Symbol" w:hAnsi="Symbol"/>
          <w:i/>
          <w:iCs/>
        </w:rPr>
        <w:t></w:t>
      </w:r>
      <w:r w:rsidRPr="001E089E">
        <w:rPr>
          <w:i/>
          <w:iCs/>
        </w:rPr>
        <w:t xml:space="preserve"> </w:t>
      </w:r>
      <w:r>
        <w:rPr>
          <w:i/>
          <w:iCs/>
        </w:rPr>
        <w:t>ime2</w:t>
      </w:r>
      <w:r w:rsidRPr="00943563">
        <w:rPr>
          <w:rFonts w:ascii="Symbol" w:hAnsi="Symbol"/>
          <w:i/>
          <w:iCs/>
        </w:rPr>
        <w:t></w:t>
      </w:r>
      <w:r>
        <w:rPr>
          <w:i/>
          <w:iCs/>
        </w:rPr>
        <w:t>-</w:t>
      </w:r>
      <w:r>
        <w:rPr>
          <w:iCs/>
        </w:rPr>
        <w:t xml:space="preserve">GFP response strain mixed with either a </w:t>
      </w:r>
      <w:r>
        <w:rPr>
          <w:i/>
          <w:iCs/>
        </w:rPr>
        <w:t>WT</w:t>
      </w:r>
      <w:r>
        <w:rPr>
          <w:iCs/>
        </w:rPr>
        <w:t xml:space="preserve"> (magenta, SH3884) or an </w:t>
      </w:r>
      <w:r w:rsidRPr="009A1972">
        <w:rPr>
          <w:i/>
          <w:iCs/>
        </w:rPr>
        <w:t>rim101</w:t>
      </w:r>
      <w:r w:rsidRPr="009A1972">
        <w:rPr>
          <w:rFonts w:ascii="Symbol" w:hAnsi="Symbol"/>
          <w:i/>
          <w:iCs/>
        </w:rPr>
        <w:t></w:t>
      </w:r>
      <w:r>
        <w:rPr>
          <w:rFonts w:ascii="Symbol" w:hAnsi="Symbol"/>
          <w:i/>
          <w:iCs/>
        </w:rPr>
        <w:t></w:t>
      </w:r>
      <w:r w:rsidRPr="001E089E">
        <w:rPr>
          <w:i/>
          <w:iCs/>
        </w:rPr>
        <w:t xml:space="preserve"> </w:t>
      </w:r>
      <w:r>
        <w:rPr>
          <w:rFonts w:ascii="Symbol" w:hAnsi="Symbol"/>
          <w:iCs/>
        </w:rPr>
        <w:t></w:t>
      </w:r>
      <w:r>
        <w:rPr>
          <w:rFonts w:cstheme="minorHAnsi"/>
          <w:iCs/>
        </w:rPr>
        <w:t>orange, SH4379) signal strain.</w:t>
      </w:r>
    </w:p>
    <w:p w:rsidR="0017746B" w:rsidRDefault="00202A17"/>
    <w:sectPr w:rsidR="0017746B" w:rsidSect="00036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A17"/>
    <w:rsid w:val="00004AC1"/>
    <w:rsid w:val="000364D6"/>
    <w:rsid w:val="000809C7"/>
    <w:rsid w:val="0008647A"/>
    <w:rsid w:val="00090F90"/>
    <w:rsid w:val="000A1C29"/>
    <w:rsid w:val="000A1DAD"/>
    <w:rsid w:val="000A4B31"/>
    <w:rsid w:val="000A77D3"/>
    <w:rsid w:val="000B188A"/>
    <w:rsid w:val="000D4F61"/>
    <w:rsid w:val="000E18D3"/>
    <w:rsid w:val="000F1C76"/>
    <w:rsid w:val="000F3B0B"/>
    <w:rsid w:val="001121BC"/>
    <w:rsid w:val="001230F8"/>
    <w:rsid w:val="00123D7F"/>
    <w:rsid w:val="00153F4F"/>
    <w:rsid w:val="001B2B66"/>
    <w:rsid w:val="001B5CFD"/>
    <w:rsid w:val="001D7339"/>
    <w:rsid w:val="001F5161"/>
    <w:rsid w:val="00202A17"/>
    <w:rsid w:val="00207C33"/>
    <w:rsid w:val="00225AC0"/>
    <w:rsid w:val="0025067C"/>
    <w:rsid w:val="002668B7"/>
    <w:rsid w:val="002776DA"/>
    <w:rsid w:val="002B4108"/>
    <w:rsid w:val="002C074C"/>
    <w:rsid w:val="002D27A4"/>
    <w:rsid w:val="002E0ACA"/>
    <w:rsid w:val="002E38BE"/>
    <w:rsid w:val="002F556B"/>
    <w:rsid w:val="003058DC"/>
    <w:rsid w:val="003126C0"/>
    <w:rsid w:val="00326421"/>
    <w:rsid w:val="00342FDB"/>
    <w:rsid w:val="00390380"/>
    <w:rsid w:val="003B09E3"/>
    <w:rsid w:val="003B7012"/>
    <w:rsid w:val="003D282D"/>
    <w:rsid w:val="003D7AAC"/>
    <w:rsid w:val="00405CF9"/>
    <w:rsid w:val="00415411"/>
    <w:rsid w:val="004226A9"/>
    <w:rsid w:val="00441D59"/>
    <w:rsid w:val="00444225"/>
    <w:rsid w:val="00444688"/>
    <w:rsid w:val="0046110A"/>
    <w:rsid w:val="00465AE8"/>
    <w:rsid w:val="00470762"/>
    <w:rsid w:val="004A2167"/>
    <w:rsid w:val="00502F99"/>
    <w:rsid w:val="00521957"/>
    <w:rsid w:val="00551491"/>
    <w:rsid w:val="00560EAD"/>
    <w:rsid w:val="00596515"/>
    <w:rsid w:val="005C15AC"/>
    <w:rsid w:val="005C4940"/>
    <w:rsid w:val="006061C1"/>
    <w:rsid w:val="00633F80"/>
    <w:rsid w:val="00696006"/>
    <w:rsid w:val="006A22D8"/>
    <w:rsid w:val="006C4913"/>
    <w:rsid w:val="006D0099"/>
    <w:rsid w:val="006F4F22"/>
    <w:rsid w:val="007043FE"/>
    <w:rsid w:val="00714D2D"/>
    <w:rsid w:val="00730CDD"/>
    <w:rsid w:val="00736889"/>
    <w:rsid w:val="00766FDC"/>
    <w:rsid w:val="00795188"/>
    <w:rsid w:val="007A481E"/>
    <w:rsid w:val="00840762"/>
    <w:rsid w:val="00886A07"/>
    <w:rsid w:val="00892907"/>
    <w:rsid w:val="008A6336"/>
    <w:rsid w:val="008E451D"/>
    <w:rsid w:val="008F3426"/>
    <w:rsid w:val="008F602E"/>
    <w:rsid w:val="00910504"/>
    <w:rsid w:val="00926276"/>
    <w:rsid w:val="00935CA1"/>
    <w:rsid w:val="00944DED"/>
    <w:rsid w:val="00951C41"/>
    <w:rsid w:val="009830AD"/>
    <w:rsid w:val="009D6EBA"/>
    <w:rsid w:val="009E5843"/>
    <w:rsid w:val="009F5763"/>
    <w:rsid w:val="00A05FD3"/>
    <w:rsid w:val="00A20788"/>
    <w:rsid w:val="00A21B25"/>
    <w:rsid w:val="00A80CB0"/>
    <w:rsid w:val="00A9016B"/>
    <w:rsid w:val="00AB727E"/>
    <w:rsid w:val="00AF03C5"/>
    <w:rsid w:val="00B07EC3"/>
    <w:rsid w:val="00B1482F"/>
    <w:rsid w:val="00B44489"/>
    <w:rsid w:val="00B462A4"/>
    <w:rsid w:val="00B914D6"/>
    <w:rsid w:val="00BA655B"/>
    <w:rsid w:val="00BD6C6A"/>
    <w:rsid w:val="00BE367A"/>
    <w:rsid w:val="00C00982"/>
    <w:rsid w:val="00C13989"/>
    <w:rsid w:val="00C147FC"/>
    <w:rsid w:val="00C15EAF"/>
    <w:rsid w:val="00C23F22"/>
    <w:rsid w:val="00C35142"/>
    <w:rsid w:val="00C444C2"/>
    <w:rsid w:val="00C5742B"/>
    <w:rsid w:val="00CD641B"/>
    <w:rsid w:val="00CD75F3"/>
    <w:rsid w:val="00CE76B7"/>
    <w:rsid w:val="00CF2C6C"/>
    <w:rsid w:val="00D35C50"/>
    <w:rsid w:val="00D5603E"/>
    <w:rsid w:val="00D9499C"/>
    <w:rsid w:val="00D95020"/>
    <w:rsid w:val="00DA6B26"/>
    <w:rsid w:val="00DE0B3D"/>
    <w:rsid w:val="00E102B0"/>
    <w:rsid w:val="00E373E8"/>
    <w:rsid w:val="00E5053D"/>
    <w:rsid w:val="00E63270"/>
    <w:rsid w:val="00E84AC7"/>
    <w:rsid w:val="00E92862"/>
    <w:rsid w:val="00EB395A"/>
    <w:rsid w:val="00EC22BF"/>
    <w:rsid w:val="00ED4576"/>
    <w:rsid w:val="00EF244D"/>
    <w:rsid w:val="00EF4C79"/>
    <w:rsid w:val="00F37688"/>
    <w:rsid w:val="00F44BED"/>
    <w:rsid w:val="00F8351B"/>
    <w:rsid w:val="00F97930"/>
    <w:rsid w:val="00FA5158"/>
    <w:rsid w:val="00FB2B29"/>
    <w:rsid w:val="00FD0005"/>
    <w:rsid w:val="00FF24AF"/>
    <w:rsid w:val="00FF7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EA21E"/>
  <w15:chartTrackingRefBased/>
  <w15:docId w15:val="{57D12FCA-E1B4-7C43-A7E5-2574219E2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2A1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489"/>
    <w:rPr>
      <w:rFonts w:eastAsiaTheme="minorHAnsi"/>
      <w:sz w:val="18"/>
      <w:szCs w:val="18"/>
    </w:rPr>
  </w:style>
  <w:style w:type="character" w:customStyle="1" w:styleId="BalloonTextChar">
    <w:name w:val="Balloon Text Char"/>
    <w:basedOn w:val="DefaultParagraphFont"/>
    <w:link w:val="BalloonText"/>
    <w:uiPriority w:val="99"/>
    <w:semiHidden/>
    <w:rsid w:val="00B4448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309</Words>
  <Characters>1767</Characters>
  <Application>Microsoft Office Word</Application>
  <DocSecurity>0</DocSecurity>
  <Lines>14</Lines>
  <Paragraphs>4</Paragraphs>
  <ScaleCrop>false</ScaleCrop>
  <Company>UMKC</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honigbergs@umkc.edu</dc:creator>
  <cp:keywords/>
  <dc:description/>
  <cp:lastModifiedBy>honigbergs@umkc.edu</cp:lastModifiedBy>
  <cp:revision>1</cp:revision>
  <dcterms:created xsi:type="dcterms:W3CDTF">2019-10-15T01:21:00Z</dcterms:created>
  <dcterms:modified xsi:type="dcterms:W3CDTF">2019-10-15T01:22:00Z</dcterms:modified>
</cp:coreProperties>
</file>