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4B0" w:rsidRPr="00DD1183" w:rsidRDefault="00C434B0" w:rsidP="00C434B0">
      <w:pPr>
        <w:jc w:val="both"/>
        <w:rPr>
          <w:rFonts w:cstheme="minorHAnsi"/>
        </w:rPr>
      </w:pPr>
      <w:r w:rsidRPr="00DD1183">
        <w:rPr>
          <w:rFonts w:cstheme="minorHAnsi"/>
          <w:u w:val="single"/>
        </w:rPr>
        <w:t xml:space="preserve">Figure S1. </w:t>
      </w:r>
      <w:proofErr w:type="gramStart"/>
      <w:r w:rsidRPr="00DD1183">
        <w:rPr>
          <w:rFonts w:cstheme="minorHAnsi"/>
          <w:u w:val="single"/>
        </w:rPr>
        <w:t>Related to Figure 1</w:t>
      </w:r>
      <w:r w:rsidRPr="00DD1183">
        <w:rPr>
          <w:rFonts w:cstheme="minorHAnsi"/>
        </w:rPr>
        <w:t>.</w:t>
      </w:r>
      <w:proofErr w:type="gramEnd"/>
      <w:r w:rsidRPr="00DD1183">
        <w:rPr>
          <w:rFonts w:cstheme="minorHAnsi"/>
        </w:rPr>
        <w:t xml:space="preserve"> </w:t>
      </w:r>
      <w:proofErr w:type="gramStart"/>
      <w:r w:rsidRPr="00DD1183">
        <w:rPr>
          <w:rFonts w:cstheme="minorHAnsi"/>
        </w:rPr>
        <w:t xml:space="preserve">Comparison of the amino acid sequence conservation between </w:t>
      </w:r>
      <w:r w:rsidRPr="00DD1183">
        <w:rPr>
          <w:rFonts w:cstheme="minorHAnsi"/>
          <w:i/>
        </w:rPr>
        <w:t xml:space="preserve">C. </w:t>
      </w:r>
      <w:proofErr w:type="spellStart"/>
      <w:r w:rsidRPr="00DD1183">
        <w:rPr>
          <w:rFonts w:cstheme="minorHAnsi"/>
          <w:i/>
        </w:rPr>
        <w:t>elegans</w:t>
      </w:r>
      <w:proofErr w:type="spellEnd"/>
      <w:r w:rsidRPr="00DD1183">
        <w:rPr>
          <w:rFonts w:cstheme="minorHAnsi"/>
        </w:rPr>
        <w:t xml:space="preserve"> DEAD-box helicase proteins, </w:t>
      </w:r>
      <w:r>
        <w:rPr>
          <w:rFonts w:cstheme="minorHAnsi"/>
        </w:rPr>
        <w:t>D</w:t>
      </w:r>
      <w:r w:rsidRPr="00DD1183">
        <w:rPr>
          <w:rFonts w:cstheme="minorHAnsi"/>
        </w:rPr>
        <w:t>rosophila Vasa and human DDX4 in A) the flanking domain B) the negatively charged C terminal tryptophan domain.</w:t>
      </w:r>
      <w:proofErr w:type="gramEnd"/>
      <w:r w:rsidRPr="00DD1183">
        <w:rPr>
          <w:rFonts w:cstheme="minorHAnsi"/>
        </w:rPr>
        <w:t xml:space="preserve"> C) The </w:t>
      </w:r>
      <w:proofErr w:type="spellStart"/>
      <w:r w:rsidRPr="00DD1183">
        <w:rPr>
          <w:rFonts w:cstheme="minorHAnsi"/>
        </w:rPr>
        <w:t>phylogenomic</w:t>
      </w:r>
      <w:proofErr w:type="spellEnd"/>
      <w:r w:rsidRPr="00DD1183">
        <w:rPr>
          <w:rFonts w:cstheme="minorHAnsi"/>
        </w:rPr>
        <w:t xml:space="preserve"> tree showing the conservation of the CCHC zinc-knuckle motif (orange) across Vasa proteins has been updated from </w:t>
      </w:r>
      <w:r w:rsidRPr="00DD1183">
        <w:rPr>
          <w:rFonts w:cstheme="minorHAnsi"/>
        </w:rPr>
        <w:fldChar w:fldCharType="begin" w:fldLock="1"/>
      </w:r>
      <w:r w:rsidRPr="00DD1183">
        <w:rPr>
          <w:rFonts w:cstheme="minorHAnsi"/>
        </w:rPr>
        <w:instrText>ADDIN CSL_CITATION {"citationItems":[{"id":"ITEM-1","itemData":{"DOI":"10.1002/bies.201000001","ISSN":"1521-1878","PMID":"20586054","abstract":"Sexually reproducing metazoans establish a cell lineage during development that is ultimately dedicated to gamete production. Work in a variety of animals suggests that a group of conserved molecular determinants act in this germ line maintenance and function. The most universal of these genes are Vasa and Vasa-like DEAD-box RNA helicase genes. However, recent evidence indicates that Vasa genes also function in other cell types, distinct from the germ line. Here we evaluate our current understanding of Vasa function and its regulation during development, addressing Vasa's emerging role in multipotent cells. We also explore the evolutionary diversification of the N-terminal domain of this gene and how this impacts the association of Vasa with nuage-like perinuclear structures.","author":[{"dropping-particle":"","family":"Gustafson","given":"Eric a","non-dropping-particle":"","parse-names":false,"suffix":""},{"dropping-particle":"","family":"Wessel","given":"Gary M","non-dropping-particle":"","parse-names":false,"suffix":""}],"container-title":"BioEssays : news and reviews in molecular, cellular and developmental biology","id":"ITEM-1","issue":"7","issued":{"date-parts":[["2010","7"]]},"page":"626-37","title":"Vasa genes: emerging roles in the germ line and in multipotent cells.","type":"article-journal","volume":"32"},"uris":["http://www.mendeley.com/documents/?uuid=e46fbe9e-1f2b-4c45-b37c-7c2124aa5850"]}],"mendeley":{"formattedCitation":"(Gustafson and Wessel 2010)","manualFormatting":"(Figure 1C in Gustafson and Wessel, 2010)","plainTextFormattedCitation":"(Gustafson and Wessel 2010)","previouslyFormattedCitation":"(Gustafson and Wessel 2010)"},"properties":{"noteIndex":0},"schema":"https://github.com/citation-style-language/schema/raw/master/csl-citation.json"}</w:instrText>
      </w:r>
      <w:r w:rsidRPr="00DD1183">
        <w:rPr>
          <w:rFonts w:cstheme="minorHAnsi"/>
        </w:rPr>
        <w:fldChar w:fldCharType="separate"/>
      </w:r>
      <w:r w:rsidRPr="00DD1183">
        <w:rPr>
          <w:rFonts w:cstheme="minorHAnsi"/>
          <w:noProof/>
        </w:rPr>
        <w:t>(Figure 1C in Gustafson and Wessel, 2010)</w:t>
      </w:r>
      <w:r w:rsidRPr="00DD1183">
        <w:rPr>
          <w:rFonts w:cstheme="minorHAnsi"/>
        </w:rPr>
        <w:fldChar w:fldCharType="end"/>
      </w:r>
      <w:r w:rsidRPr="00DD1183">
        <w:rPr>
          <w:rFonts w:cstheme="minorHAnsi"/>
        </w:rPr>
        <w:t xml:space="preserve"> using </w:t>
      </w:r>
      <w:proofErr w:type="spellStart"/>
      <w:r w:rsidRPr="00DD1183">
        <w:rPr>
          <w:rFonts w:cstheme="minorHAnsi"/>
        </w:rPr>
        <w:t>phyloT</w:t>
      </w:r>
      <w:proofErr w:type="spellEnd"/>
      <w:r w:rsidRPr="00DD1183">
        <w:rPr>
          <w:rFonts w:cstheme="minorHAnsi"/>
        </w:rPr>
        <w:t xml:space="preserve"> (phylot.biobyte.de) and NCBI taxonomy data. Dashed lines indicate loss of the motif in some species. </w:t>
      </w:r>
    </w:p>
    <w:p w:rsidR="00C434B0" w:rsidRPr="00DD1183" w:rsidRDefault="00C434B0" w:rsidP="00C434B0">
      <w:pPr>
        <w:jc w:val="both"/>
        <w:rPr>
          <w:rFonts w:cstheme="minorHAnsi"/>
        </w:rPr>
      </w:pPr>
      <w:r w:rsidRPr="00DD1183">
        <w:rPr>
          <w:rFonts w:cstheme="minorHAnsi"/>
          <w:u w:val="single"/>
        </w:rPr>
        <w:t xml:space="preserve">Figure S2. </w:t>
      </w:r>
      <w:proofErr w:type="gramStart"/>
      <w:r w:rsidRPr="00DD1183">
        <w:rPr>
          <w:rFonts w:cstheme="minorHAnsi"/>
          <w:u w:val="single"/>
        </w:rPr>
        <w:t>Related to Figure 3</w:t>
      </w:r>
      <w:r w:rsidRPr="00DD1183">
        <w:rPr>
          <w:rFonts w:cstheme="minorHAnsi"/>
        </w:rPr>
        <w:t>.</w:t>
      </w:r>
      <w:proofErr w:type="gramEnd"/>
      <w:r w:rsidRPr="00DD1183">
        <w:rPr>
          <w:rFonts w:cstheme="minorHAnsi"/>
        </w:rPr>
        <w:t xml:space="preserve">  All images (now condensed) used to quantify granularity and expression in Figure 3. The domain location of the mutation, strain name, allele name and mutation type is indicated. Ten worms analyzed for each genotype.</w:t>
      </w:r>
    </w:p>
    <w:p w:rsidR="00C434B0" w:rsidRDefault="00C434B0" w:rsidP="00C434B0">
      <w:pPr>
        <w:spacing w:after="0"/>
        <w:jc w:val="both"/>
        <w:rPr>
          <w:rFonts w:cstheme="minorHAnsi"/>
        </w:rPr>
      </w:pPr>
      <w:r w:rsidRPr="00DD1183">
        <w:rPr>
          <w:rFonts w:cstheme="minorHAnsi"/>
          <w:u w:val="single"/>
        </w:rPr>
        <w:t xml:space="preserve">Figure S3. </w:t>
      </w:r>
      <w:proofErr w:type="gramStart"/>
      <w:r w:rsidRPr="00DD1183">
        <w:rPr>
          <w:rFonts w:cstheme="minorHAnsi"/>
          <w:u w:val="single"/>
        </w:rPr>
        <w:t>Related to Figure 6</w:t>
      </w:r>
      <w:r w:rsidRPr="00DD1183">
        <w:rPr>
          <w:rFonts w:cstheme="minorHAnsi"/>
        </w:rPr>
        <w:t>.</w:t>
      </w:r>
      <w:proofErr w:type="gramEnd"/>
      <w:r w:rsidRPr="00DD1183">
        <w:rPr>
          <w:rFonts w:cstheme="minorHAnsi"/>
        </w:rPr>
        <w:t xml:space="preserve"> </w:t>
      </w:r>
      <w:proofErr w:type="gramStart"/>
      <w:r w:rsidRPr="00DD1183">
        <w:rPr>
          <w:rFonts w:cstheme="minorHAnsi"/>
        </w:rPr>
        <w:t xml:space="preserve">GLH-1 </w:t>
      </w:r>
      <w:proofErr w:type="spellStart"/>
      <w:r w:rsidRPr="00DD1183">
        <w:rPr>
          <w:rFonts w:cstheme="minorHAnsi"/>
        </w:rPr>
        <w:t>Immunoprecipitation</w:t>
      </w:r>
      <w:proofErr w:type="spellEnd"/>
      <w:r w:rsidRPr="00DD1183">
        <w:rPr>
          <w:rFonts w:cstheme="minorHAnsi"/>
        </w:rPr>
        <w:t>.</w:t>
      </w:r>
      <w:proofErr w:type="gramEnd"/>
      <w:r w:rsidRPr="00DD1183">
        <w:rPr>
          <w:rFonts w:cstheme="minorHAnsi"/>
        </w:rPr>
        <w:t xml:space="preserve"> Left: Microscope images of control non-antigen exposed anti-DYKDDDDK agarose beads compared to beads exposed to lysate from the GLH-1:</w:t>
      </w:r>
      <w:proofErr w:type="gramStart"/>
      <w:r w:rsidRPr="00DD1183">
        <w:rPr>
          <w:rFonts w:cstheme="minorHAnsi"/>
        </w:rPr>
        <w:t>:GFP</w:t>
      </w:r>
      <w:proofErr w:type="gramEnd"/>
      <w:r w:rsidRPr="00DD1183">
        <w:rPr>
          <w:rFonts w:cstheme="minorHAnsi"/>
        </w:rPr>
        <w:t xml:space="preserve">::3xFLAG expressing strain. Right: Western blot comparing GLH-1 expression in the input, unbound and elute fraction after </w:t>
      </w:r>
      <w:proofErr w:type="spellStart"/>
      <w:r w:rsidRPr="00DD1183">
        <w:rPr>
          <w:rFonts w:cstheme="minorHAnsi"/>
        </w:rPr>
        <w:t>immunoprecipitation</w:t>
      </w:r>
      <w:proofErr w:type="spellEnd"/>
      <w:r w:rsidRPr="00DD1183">
        <w:rPr>
          <w:rFonts w:cstheme="minorHAnsi"/>
        </w:rPr>
        <w:t xml:space="preserve"> with protein lysate from the GLH-1:</w:t>
      </w:r>
      <w:proofErr w:type="gramStart"/>
      <w:r w:rsidRPr="00DD1183">
        <w:rPr>
          <w:rFonts w:cstheme="minorHAnsi"/>
        </w:rPr>
        <w:t>:GFP</w:t>
      </w:r>
      <w:proofErr w:type="gramEnd"/>
      <w:r w:rsidRPr="00DD1183">
        <w:rPr>
          <w:rFonts w:cstheme="minorHAnsi"/>
        </w:rPr>
        <w:t>::3xFLAG expressing strain.  Results were replicated three times.</w:t>
      </w:r>
    </w:p>
    <w:p w:rsidR="00C434B0" w:rsidRDefault="00C434B0" w:rsidP="00C434B0">
      <w:pPr>
        <w:rPr>
          <w:rFonts w:cstheme="minorHAnsi"/>
        </w:rPr>
      </w:pPr>
    </w:p>
    <w:p w:rsidR="00C434B0" w:rsidRDefault="00C434B0" w:rsidP="00C434B0">
      <w:pPr>
        <w:rPr>
          <w:rFonts w:cstheme="minorHAnsi"/>
        </w:rPr>
      </w:pPr>
      <w:r>
        <w:rPr>
          <w:rFonts w:cstheme="minorHAnsi"/>
        </w:rPr>
        <w:t xml:space="preserve">Table S1: CRISPR/Cas9 reagents for generating </w:t>
      </w:r>
      <w:r w:rsidRPr="00DB2DED">
        <w:rPr>
          <w:rFonts w:cstheme="minorHAnsi"/>
          <w:i/>
        </w:rPr>
        <w:t>glh-1</w:t>
      </w:r>
      <w:r>
        <w:rPr>
          <w:rFonts w:cstheme="minorHAnsi"/>
        </w:rPr>
        <w:t xml:space="preserve"> alleles</w:t>
      </w:r>
    </w:p>
    <w:p w:rsidR="00C434B0" w:rsidRDefault="00C434B0" w:rsidP="00C434B0">
      <w:pPr>
        <w:spacing w:after="0"/>
        <w:jc w:val="both"/>
        <w:rPr>
          <w:rFonts w:cstheme="minorHAnsi"/>
        </w:rPr>
      </w:pPr>
    </w:p>
    <w:p w:rsidR="00C434B0" w:rsidRDefault="00C434B0" w:rsidP="00C434B0">
      <w:pPr>
        <w:spacing w:after="0"/>
        <w:jc w:val="both"/>
        <w:rPr>
          <w:rFonts w:cstheme="minorHAnsi"/>
        </w:rPr>
      </w:pPr>
      <w:r>
        <w:rPr>
          <w:rFonts w:cstheme="minorHAnsi"/>
        </w:rPr>
        <w:t>Table S2: Proteins with enhanced or depleted GLH-1 association in wild type (DEAD) and GLH-1 mutants (DAAD &amp; DQAD)</w:t>
      </w:r>
    </w:p>
    <w:p w:rsidR="00C434B0" w:rsidRDefault="00C434B0" w:rsidP="00C434B0">
      <w:pPr>
        <w:spacing w:after="0"/>
        <w:jc w:val="both"/>
        <w:rPr>
          <w:rFonts w:cstheme="minorHAnsi"/>
        </w:rPr>
      </w:pPr>
      <w:r>
        <w:rPr>
          <w:rFonts w:cstheme="minorHAnsi"/>
        </w:rPr>
        <w:tab/>
        <w:t xml:space="preserve">2505 proteins identified by FLAG-IP LC/MS/MS of 3xFLAG-tagged GLH-1 (and mutant GLH-1) </w:t>
      </w:r>
      <w:r w:rsidRPr="00861991">
        <w:rPr>
          <w:rFonts w:cstheme="minorHAnsi"/>
          <w:i/>
        </w:rPr>
        <w:t xml:space="preserve">C. </w:t>
      </w:r>
      <w:proofErr w:type="spellStart"/>
      <w:r w:rsidRPr="00861991">
        <w:rPr>
          <w:rFonts w:cstheme="minorHAnsi"/>
          <w:i/>
        </w:rPr>
        <w:t>elegans</w:t>
      </w:r>
      <w:proofErr w:type="spellEnd"/>
      <w:r>
        <w:rPr>
          <w:rFonts w:cstheme="minorHAnsi"/>
        </w:rPr>
        <w:t xml:space="preserve"> lysates compared to control (large supplemental spreadsheet file).  Proteomics data used to generate this spreadsheet have been uploaded to the PRIDE proteomics repository, project accession PXD014135.</w:t>
      </w:r>
    </w:p>
    <w:p w:rsidR="00C434B0" w:rsidRPr="009D6D74" w:rsidRDefault="00C434B0" w:rsidP="00C434B0">
      <w:pPr>
        <w:spacing w:after="0"/>
        <w:jc w:val="both"/>
        <w:rPr>
          <w:rFonts w:cstheme="minorHAnsi"/>
        </w:rPr>
      </w:pPr>
    </w:p>
    <w:p w:rsidR="00C434B0" w:rsidRDefault="00C434B0" w:rsidP="00C434B0">
      <w:pPr>
        <w:spacing w:after="0"/>
        <w:jc w:val="both"/>
        <w:rPr>
          <w:rFonts w:cstheme="minorHAnsi"/>
        </w:rPr>
      </w:pPr>
      <w:r>
        <w:rPr>
          <w:rFonts w:cstheme="minorHAnsi"/>
        </w:rPr>
        <w:t>Table S3: Protein classes with enriched or depleted GLH-1 associations</w:t>
      </w:r>
    </w:p>
    <w:p w:rsidR="00C434B0" w:rsidRDefault="00C434B0" w:rsidP="00C434B0">
      <w:pPr>
        <w:spacing w:after="0"/>
        <w:jc w:val="both"/>
        <w:rPr>
          <w:rFonts w:cstheme="minorHAnsi"/>
        </w:rPr>
      </w:pPr>
      <w:r>
        <w:rPr>
          <w:rFonts w:cstheme="minorHAnsi"/>
        </w:rPr>
        <w:tab/>
        <w:t xml:space="preserve">Excel table (attached) showing protein classes identified by gene ontology analysis.  </w:t>
      </w:r>
    </w:p>
    <w:p w:rsidR="009D744B" w:rsidRDefault="009D744B">
      <w:bookmarkStart w:id="0" w:name="_GoBack"/>
      <w:bookmarkEnd w:id="0"/>
    </w:p>
    <w:sectPr w:rsidR="009D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11"/>
    <w:rsid w:val="005747CF"/>
    <w:rsid w:val="00745531"/>
    <w:rsid w:val="009D744B"/>
    <w:rsid w:val="00AE7811"/>
    <w:rsid w:val="00B64332"/>
    <w:rsid w:val="00C43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567</Words>
  <Characters>3238</Characters>
  <Application>Microsoft Office Word</Application>
  <DocSecurity>0</DocSecurity>
  <Lines>26</Lines>
  <Paragraphs>7</Paragraphs>
  <ScaleCrop>false</ScaleCrop>
  <Company>Microsoft</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Schaeffer</dc:creator>
  <cp:keywords/>
  <dc:description/>
  <cp:lastModifiedBy>Diana Schaeffer</cp:lastModifiedBy>
  <cp:revision>2</cp:revision>
  <dcterms:created xsi:type="dcterms:W3CDTF">2019-09-26T15:34:00Z</dcterms:created>
  <dcterms:modified xsi:type="dcterms:W3CDTF">2019-09-26T15:35:00Z</dcterms:modified>
</cp:coreProperties>
</file>