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EAC6" w14:textId="77777777" w:rsidR="00EA27DC" w:rsidRPr="00EC3593" w:rsidRDefault="00EA27DC" w:rsidP="00EA27DC">
      <w:pPr>
        <w:rPr>
          <w:rFonts w:ascii="Arial" w:hAnsi="Arial" w:cs="Arial"/>
        </w:rPr>
      </w:pPr>
      <w:r>
        <w:rPr>
          <w:rFonts w:ascii="Arial" w:hAnsi="Arial" w:cs="Arial"/>
          <w:b/>
        </w:rPr>
        <w:t>Table S2</w:t>
      </w:r>
      <w:r w:rsidRPr="00434483">
        <w:rPr>
          <w:rFonts w:ascii="Arial" w:hAnsi="Arial" w:cs="Arial"/>
          <w:b/>
        </w:rPr>
        <w:t xml:space="preserve">. </w:t>
      </w:r>
      <w:r>
        <w:rPr>
          <w:rFonts w:ascii="Arial" w:hAnsi="Arial" w:cs="Arial"/>
          <w:b/>
        </w:rPr>
        <w:t xml:space="preserve"> Transcript counts</w:t>
      </w:r>
    </w:p>
    <w:p w14:paraId="6E129434" w14:textId="77777777" w:rsidR="00EA27DC" w:rsidRPr="00434483" w:rsidRDefault="00EA27DC" w:rsidP="00EA27DC">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350"/>
        <w:gridCol w:w="5680"/>
      </w:tblGrid>
      <w:tr w:rsidR="00EA27DC" w:rsidRPr="007C52BF" w14:paraId="118110C9" w14:textId="77777777" w:rsidTr="008D0F86">
        <w:trPr>
          <w:jc w:val="center"/>
        </w:trPr>
        <w:tc>
          <w:tcPr>
            <w:tcW w:w="1615" w:type="dxa"/>
            <w:tcBorders>
              <w:top w:val="nil"/>
              <w:left w:val="nil"/>
              <w:bottom w:val="double" w:sz="4" w:space="0" w:color="auto"/>
              <w:right w:val="nil"/>
            </w:tcBorders>
            <w:shd w:val="clear" w:color="auto" w:fill="auto"/>
            <w:vAlign w:val="bottom"/>
          </w:tcPr>
          <w:p w14:paraId="59CC8CC5" w14:textId="77777777" w:rsidR="00EA27DC" w:rsidRPr="007C52BF" w:rsidRDefault="00EA27DC" w:rsidP="008D0F86">
            <w:pPr>
              <w:rPr>
                <w:rFonts w:ascii="Arial" w:hAnsi="Arial" w:cs="Arial"/>
              </w:rPr>
            </w:pPr>
            <w:r w:rsidRPr="007C52BF">
              <w:rPr>
                <w:rFonts w:ascii="Arial" w:eastAsia="Times New Roman" w:hAnsi="Arial" w:cs="Arial"/>
                <w:color w:val="000000"/>
              </w:rPr>
              <w:t>Transcript</w:t>
            </w:r>
          </w:p>
        </w:tc>
        <w:tc>
          <w:tcPr>
            <w:tcW w:w="1350" w:type="dxa"/>
            <w:tcBorders>
              <w:top w:val="nil"/>
              <w:left w:val="nil"/>
              <w:bottom w:val="double" w:sz="4" w:space="0" w:color="auto"/>
              <w:right w:val="nil"/>
            </w:tcBorders>
            <w:shd w:val="clear" w:color="auto" w:fill="auto"/>
            <w:vAlign w:val="bottom"/>
          </w:tcPr>
          <w:p w14:paraId="17414167" w14:textId="77777777" w:rsidR="00EA27DC" w:rsidRPr="007C52BF" w:rsidRDefault="00EA27DC" w:rsidP="008D0F86">
            <w:pPr>
              <w:rPr>
                <w:rFonts w:ascii="Arial" w:hAnsi="Arial" w:cs="Arial"/>
              </w:rPr>
            </w:pPr>
            <w:r w:rsidRPr="007C52BF">
              <w:rPr>
                <w:rFonts w:ascii="Arial" w:eastAsia="Times New Roman" w:hAnsi="Arial" w:cs="Arial"/>
                <w:color w:val="000000"/>
              </w:rPr>
              <w:t>Count</w:t>
            </w:r>
          </w:p>
        </w:tc>
        <w:tc>
          <w:tcPr>
            <w:tcW w:w="5680" w:type="dxa"/>
            <w:tcBorders>
              <w:top w:val="nil"/>
              <w:left w:val="nil"/>
              <w:bottom w:val="double" w:sz="4" w:space="0" w:color="auto"/>
              <w:right w:val="nil"/>
            </w:tcBorders>
            <w:shd w:val="clear" w:color="auto" w:fill="auto"/>
          </w:tcPr>
          <w:p w14:paraId="3D76CC1C" w14:textId="77777777" w:rsidR="00EA27DC" w:rsidRPr="007C52BF" w:rsidRDefault="00EA27DC" w:rsidP="008D0F86">
            <w:pPr>
              <w:rPr>
                <w:rFonts w:ascii="Arial" w:eastAsia="Times New Roman" w:hAnsi="Arial" w:cs="Arial"/>
                <w:color w:val="000000"/>
              </w:rPr>
            </w:pPr>
            <w:r w:rsidRPr="007C52BF">
              <w:rPr>
                <w:rFonts w:ascii="Arial" w:eastAsia="Times New Roman" w:hAnsi="Arial" w:cs="Arial"/>
                <w:color w:val="000000"/>
              </w:rPr>
              <w:t>Source</w:t>
            </w:r>
          </w:p>
        </w:tc>
      </w:tr>
      <w:tr w:rsidR="00EA27DC" w:rsidRPr="007C52BF" w14:paraId="24FA61C3" w14:textId="77777777" w:rsidTr="008D0F86">
        <w:trPr>
          <w:jc w:val="center"/>
        </w:trPr>
        <w:tc>
          <w:tcPr>
            <w:tcW w:w="1615" w:type="dxa"/>
            <w:tcBorders>
              <w:top w:val="double" w:sz="4" w:space="0" w:color="auto"/>
              <w:left w:val="nil"/>
              <w:bottom w:val="nil"/>
              <w:right w:val="nil"/>
            </w:tcBorders>
            <w:shd w:val="clear" w:color="auto" w:fill="auto"/>
            <w:vAlign w:val="bottom"/>
          </w:tcPr>
          <w:p w14:paraId="1F6DB4DB" w14:textId="77777777" w:rsidR="00EA27DC" w:rsidRPr="007C52BF" w:rsidRDefault="00EA27DC" w:rsidP="008D0F86">
            <w:pPr>
              <w:rPr>
                <w:rFonts w:ascii="Arial" w:hAnsi="Arial" w:cs="Arial"/>
              </w:rPr>
            </w:pPr>
            <w:r w:rsidRPr="007C52BF">
              <w:rPr>
                <w:rFonts w:ascii="Arial" w:eastAsia="Times New Roman" w:hAnsi="Arial" w:cs="Arial"/>
                <w:color w:val="000000"/>
              </w:rPr>
              <w:t>mRNA</w:t>
            </w:r>
          </w:p>
        </w:tc>
        <w:tc>
          <w:tcPr>
            <w:tcW w:w="1350" w:type="dxa"/>
            <w:tcBorders>
              <w:top w:val="double" w:sz="4" w:space="0" w:color="auto"/>
              <w:left w:val="nil"/>
              <w:bottom w:val="nil"/>
              <w:right w:val="nil"/>
            </w:tcBorders>
            <w:shd w:val="clear" w:color="auto" w:fill="auto"/>
            <w:vAlign w:val="bottom"/>
          </w:tcPr>
          <w:p w14:paraId="4EBFF420" w14:textId="77777777" w:rsidR="00EA27DC" w:rsidRPr="007C52BF" w:rsidRDefault="00EA27DC" w:rsidP="008D0F86">
            <w:pPr>
              <w:rPr>
                <w:rFonts w:ascii="Arial" w:hAnsi="Arial" w:cs="Arial"/>
              </w:rPr>
            </w:pPr>
            <w:r w:rsidRPr="007C52BF">
              <w:rPr>
                <w:rFonts w:ascii="Arial" w:eastAsia="Times New Roman" w:hAnsi="Arial" w:cs="Arial"/>
                <w:color w:val="000000"/>
              </w:rPr>
              <w:t>6600</w:t>
            </w:r>
          </w:p>
        </w:tc>
        <w:tc>
          <w:tcPr>
            <w:tcW w:w="5680" w:type="dxa"/>
            <w:tcBorders>
              <w:top w:val="double" w:sz="4" w:space="0" w:color="auto"/>
              <w:left w:val="nil"/>
              <w:bottom w:val="nil"/>
              <w:right w:val="nil"/>
            </w:tcBorders>
            <w:shd w:val="clear" w:color="auto" w:fill="auto"/>
          </w:tcPr>
          <w:p w14:paraId="35053CCD" w14:textId="77777777" w:rsidR="00EA27DC" w:rsidRPr="007C52BF" w:rsidRDefault="00EA27DC" w:rsidP="008D0F86">
            <w:pPr>
              <w:rPr>
                <w:rFonts w:ascii="Arial" w:eastAsia="Times New Roman" w:hAnsi="Arial" w:cs="Arial"/>
                <w:color w:val="000000"/>
              </w:rPr>
            </w:pPr>
            <w:r w:rsidRPr="007C52BF">
              <w:rPr>
                <w:rFonts w:ascii="Arial" w:eastAsia="Times New Roman" w:hAnsi="Arial" w:cs="Arial"/>
                <w:color w:val="000000"/>
              </w:rPr>
              <w:t>SGD</w:t>
            </w:r>
          </w:p>
        </w:tc>
      </w:tr>
      <w:tr w:rsidR="00EA27DC" w:rsidRPr="007C52BF" w14:paraId="2F943123" w14:textId="77777777" w:rsidTr="008D0F86">
        <w:trPr>
          <w:jc w:val="center"/>
        </w:trPr>
        <w:tc>
          <w:tcPr>
            <w:tcW w:w="1615" w:type="dxa"/>
            <w:tcBorders>
              <w:top w:val="nil"/>
              <w:left w:val="nil"/>
              <w:bottom w:val="nil"/>
              <w:right w:val="nil"/>
            </w:tcBorders>
            <w:shd w:val="clear" w:color="auto" w:fill="auto"/>
            <w:vAlign w:val="bottom"/>
          </w:tcPr>
          <w:p w14:paraId="34852EC9" w14:textId="77777777" w:rsidR="00EA27DC" w:rsidRPr="007C52BF" w:rsidRDefault="00EA27DC" w:rsidP="008D0F86">
            <w:pPr>
              <w:rPr>
                <w:rFonts w:ascii="Arial" w:hAnsi="Arial" w:cs="Arial"/>
              </w:rPr>
            </w:pPr>
            <w:r w:rsidRPr="007C52BF">
              <w:rPr>
                <w:rFonts w:ascii="Arial" w:eastAsia="Times New Roman" w:hAnsi="Arial" w:cs="Arial"/>
                <w:color w:val="000000"/>
              </w:rPr>
              <w:t>snoRNA</w:t>
            </w:r>
          </w:p>
        </w:tc>
        <w:tc>
          <w:tcPr>
            <w:tcW w:w="1350" w:type="dxa"/>
            <w:tcBorders>
              <w:top w:val="nil"/>
              <w:left w:val="nil"/>
              <w:bottom w:val="nil"/>
              <w:right w:val="nil"/>
            </w:tcBorders>
            <w:shd w:val="clear" w:color="auto" w:fill="auto"/>
            <w:vAlign w:val="bottom"/>
          </w:tcPr>
          <w:p w14:paraId="7460B0A7" w14:textId="77777777" w:rsidR="00EA27DC" w:rsidRPr="007C52BF" w:rsidRDefault="00EA27DC" w:rsidP="008D0F86">
            <w:pPr>
              <w:rPr>
                <w:rFonts w:ascii="Arial" w:hAnsi="Arial" w:cs="Arial"/>
              </w:rPr>
            </w:pPr>
            <w:r w:rsidRPr="007C52BF">
              <w:rPr>
                <w:rFonts w:ascii="Arial" w:eastAsia="Times New Roman" w:hAnsi="Arial" w:cs="Arial"/>
                <w:color w:val="000000"/>
              </w:rPr>
              <w:t>77</w:t>
            </w:r>
          </w:p>
        </w:tc>
        <w:tc>
          <w:tcPr>
            <w:tcW w:w="5680" w:type="dxa"/>
            <w:tcBorders>
              <w:top w:val="nil"/>
              <w:left w:val="nil"/>
              <w:bottom w:val="nil"/>
              <w:right w:val="nil"/>
            </w:tcBorders>
            <w:shd w:val="clear" w:color="auto" w:fill="auto"/>
          </w:tcPr>
          <w:p w14:paraId="3C65FC7E" w14:textId="77777777" w:rsidR="00EA27DC" w:rsidRPr="007C52BF" w:rsidRDefault="00EA27DC" w:rsidP="008D0F86">
            <w:pPr>
              <w:rPr>
                <w:rFonts w:ascii="Arial" w:eastAsia="Times New Roman" w:hAnsi="Arial" w:cs="Arial"/>
                <w:color w:val="000000"/>
              </w:rPr>
            </w:pPr>
            <w:r w:rsidRPr="007C52BF">
              <w:rPr>
                <w:rFonts w:ascii="Arial" w:eastAsia="Times New Roman" w:hAnsi="Arial" w:cs="Arial"/>
                <w:color w:val="000000"/>
              </w:rPr>
              <w:t>SGD</w:t>
            </w:r>
          </w:p>
        </w:tc>
      </w:tr>
      <w:tr w:rsidR="00EA27DC" w:rsidRPr="007C52BF" w14:paraId="56D68E2D" w14:textId="77777777" w:rsidTr="008D0F86">
        <w:trPr>
          <w:jc w:val="center"/>
        </w:trPr>
        <w:tc>
          <w:tcPr>
            <w:tcW w:w="1615" w:type="dxa"/>
            <w:tcBorders>
              <w:top w:val="nil"/>
              <w:left w:val="nil"/>
              <w:bottom w:val="nil"/>
              <w:right w:val="nil"/>
            </w:tcBorders>
            <w:shd w:val="clear" w:color="auto" w:fill="auto"/>
            <w:vAlign w:val="bottom"/>
          </w:tcPr>
          <w:p w14:paraId="632DCA81" w14:textId="77777777" w:rsidR="00EA27DC" w:rsidRPr="007C52BF" w:rsidRDefault="00EA27DC" w:rsidP="008D0F86">
            <w:pPr>
              <w:rPr>
                <w:rFonts w:ascii="Arial" w:hAnsi="Arial" w:cs="Arial"/>
              </w:rPr>
            </w:pPr>
            <w:r w:rsidRPr="007C52BF">
              <w:rPr>
                <w:rFonts w:ascii="Arial" w:eastAsia="Times New Roman" w:hAnsi="Arial" w:cs="Arial"/>
                <w:color w:val="000000"/>
              </w:rPr>
              <w:t>CUT</w:t>
            </w:r>
          </w:p>
        </w:tc>
        <w:tc>
          <w:tcPr>
            <w:tcW w:w="1350" w:type="dxa"/>
            <w:tcBorders>
              <w:top w:val="nil"/>
              <w:left w:val="nil"/>
              <w:bottom w:val="nil"/>
              <w:right w:val="nil"/>
            </w:tcBorders>
            <w:shd w:val="clear" w:color="auto" w:fill="auto"/>
            <w:vAlign w:val="bottom"/>
          </w:tcPr>
          <w:p w14:paraId="6EBE98F1" w14:textId="77777777" w:rsidR="00EA27DC" w:rsidRPr="007C52BF" w:rsidRDefault="00EA27DC" w:rsidP="008D0F86">
            <w:pPr>
              <w:rPr>
                <w:rFonts w:ascii="Arial" w:hAnsi="Arial" w:cs="Arial"/>
              </w:rPr>
            </w:pPr>
            <w:r w:rsidRPr="007C52BF">
              <w:rPr>
                <w:rFonts w:ascii="Arial" w:eastAsia="Times New Roman" w:hAnsi="Arial" w:cs="Arial"/>
                <w:color w:val="000000"/>
              </w:rPr>
              <w:t>925</w:t>
            </w:r>
          </w:p>
        </w:tc>
        <w:tc>
          <w:tcPr>
            <w:tcW w:w="5680" w:type="dxa"/>
            <w:tcBorders>
              <w:top w:val="nil"/>
              <w:left w:val="nil"/>
              <w:bottom w:val="nil"/>
              <w:right w:val="nil"/>
            </w:tcBorders>
            <w:shd w:val="clear" w:color="auto" w:fill="auto"/>
          </w:tcPr>
          <w:p w14:paraId="20FE4CD7" w14:textId="77777777" w:rsidR="00EA27DC" w:rsidRPr="007C52BF" w:rsidRDefault="00EA27DC" w:rsidP="008D0F86">
            <w:pPr>
              <w:rPr>
                <w:rFonts w:ascii="Arial" w:eastAsia="Times New Roman" w:hAnsi="Arial" w:cs="Arial"/>
                <w:color w:val="000000"/>
              </w:rPr>
            </w:pPr>
            <w:r w:rsidRPr="007C52BF">
              <w:rPr>
                <w:rFonts w:ascii="Arial" w:eastAsia="Times New Roman" w:hAnsi="Arial" w:cs="Arial"/>
                <w:color w:val="000000"/>
              </w:rPr>
              <w:fldChar w:fldCharType="begin" w:fldLock="1"/>
            </w:r>
            <w:r w:rsidRPr="007C52BF">
              <w:rPr>
                <w:rFonts w:ascii="Arial" w:eastAsia="Times New Roman" w:hAnsi="Arial" w:cs="Arial"/>
                <w:color w:val="000000"/>
              </w:rPr>
              <w:instrText>ADDIN CSL_CITATION {"citationItems":[{"id":"ITEM-1","itemData":{"DOI":"10.1038/nature07728","ISBN":"0028-0836","ISSN":"1476-4687","PMID":"19169243","abstract":"Genome-wide pervasive transcription has been reported in many eukaryotic organisms, revealing a highly interleaved transcriptome organization that involves hundreds of previously unknown non-coding RNAs. These recently identified transcripts either exist stably in cells (stable unannotated transcripts, SUTs) or are rapidly degraded by the RNA surveillance pathway (cryptic unstable transcripts, CUTs). One characteristic of pervasive transcription is the extensive overlap of SUTs and CUTs with previously annotated features, which prompts questions regarding how these transcripts are generated, and whether they exert function. Single-gene studies have shown that transcription of SUTs and CUTs can be functional, through mechanisms involving the generated RNAs or their generation itself. So far, a complete transcriptome architecture including SUTs and CUTs has not been described in any organism. Knowledge about the position and genome-wide arrangement of these transcripts will be instrumental in understanding their function. Here we provide a comprehensive analysis of these transcripts in the context of multiple conditions, a mutant of the exosome machinery and different strain backgrounds of Saccharomyces cerevisiae. We show that both SUTs and CUTs display distinct patterns of distribution at specific locations. Most of the newly identified transcripts initiate from nucleosome-free regions (NFRs) associated with the promoters of other transcripts (mostly protein-coding genes), or from NFRs at the 3' ends of protein-coding genes. Likewise, about half of all coding transcripts initiate from NFRs associated with promoters of other transcripts. These data change our view of how a genome is transcribed, indicating that bidirectionality is an inherent feature of promoters. Such an arrangement of divergent and overlapping transcripts may provide a mechanism for local spreading of regulatory signals-that is, coupling the transcriptional regulation of neighbouring genes by means of transcriptional interference or histone modification.","author":[{"dropping-particle":"","family":"Xu","given":"Zhenyu","non-dropping-particle":"","parse-names":false,"suffix":""},{"dropping-particle":"","family":"Wei","given":"Wu","non-dropping-particle":"","parse-names":false,"suffix":""},{"dropping-particle":"","family":"Gagneur","given":"Julien","non-dropping-particle":"","parse-names":false,"suffix":""},{"dropping-particle":"","family":"Perocchi","given":"Fabiana","non-dropping-particle":"","parse-names":false,"suffix":""},{"dropping-particle":"","family":"Clauder-Münster","given":"Sandra","non-dropping-particle":"","parse-names":false,"suffix":""},{"dropping-particle":"","family":"Camblong","given":"Jurgi","non-dropping-particle":"","parse-names":false,"suffix":""},{"dropping-particle":"","family":"Guffanti","given":"Elisa","non-dropping-particle":"","parse-names":false,"suffix":""},{"dropping-particle":"","family":"Stutz","given":"Françoise","non-dropping-particle":"","parse-names":false,"suffix":""},{"dropping-particle":"","family":"Huber","given":"Wolfgang","non-dropping-particle":"","parse-names":false,"suffix":""},{"dropping-particle":"","family":"Steinmetz","given":"Lars M","non-dropping-particle":"","parse-names":false,"suffix":""}],"container-title":"Nature","id":"ITEM-1","issue":"7232","issued":{"date-parts":[["2009"]]},"page":"1033-7","title":"Bidirectional promoters generate pervasive transcription in yeast.","type":"article-journal","volume":"457"},"uris":["http://www.mendeley.com/documents/?uuid=f5249697-7d90-489a-b1d5-c7c9b6c74ef5"]}],"mendeley":{"formattedCitation":"(Xu &lt;i&gt;et al.&lt;/i&gt; 2009)","manualFormatting":"Xu et al., 2009","plainTextFormattedCitation":"(Xu et al. 2009)","previouslyFormattedCitation":"(Xu &lt;i&gt;et al.&lt;/i&gt; 2009)"},"properties":{"noteIndex":0},"schema":"https://github.com/citation-style-language/schema/raw/master/csl-citation.json"}</w:instrText>
            </w:r>
            <w:r w:rsidRPr="007C52BF">
              <w:rPr>
                <w:rFonts w:ascii="Arial" w:eastAsia="Times New Roman" w:hAnsi="Arial" w:cs="Arial"/>
                <w:color w:val="000000"/>
              </w:rPr>
              <w:fldChar w:fldCharType="separate"/>
            </w:r>
            <w:r w:rsidRPr="007C52BF">
              <w:rPr>
                <w:rFonts w:ascii="Arial" w:eastAsia="Times New Roman" w:hAnsi="Arial" w:cs="Arial"/>
                <w:noProof/>
                <w:color w:val="000000"/>
              </w:rPr>
              <w:t>Xu et al., 2009</w:t>
            </w:r>
            <w:r w:rsidRPr="007C52BF">
              <w:rPr>
                <w:rFonts w:ascii="Arial" w:eastAsia="Times New Roman" w:hAnsi="Arial" w:cs="Arial"/>
                <w:color w:val="000000"/>
              </w:rPr>
              <w:fldChar w:fldCharType="end"/>
            </w:r>
          </w:p>
        </w:tc>
      </w:tr>
      <w:tr w:rsidR="00EA27DC" w:rsidRPr="007C52BF" w14:paraId="52700873" w14:textId="77777777" w:rsidTr="008D0F86">
        <w:trPr>
          <w:jc w:val="center"/>
        </w:trPr>
        <w:tc>
          <w:tcPr>
            <w:tcW w:w="1615" w:type="dxa"/>
            <w:tcBorders>
              <w:top w:val="nil"/>
              <w:left w:val="nil"/>
              <w:bottom w:val="nil"/>
              <w:right w:val="nil"/>
            </w:tcBorders>
            <w:shd w:val="clear" w:color="auto" w:fill="auto"/>
            <w:vAlign w:val="bottom"/>
          </w:tcPr>
          <w:p w14:paraId="0019256D" w14:textId="77777777" w:rsidR="00EA27DC" w:rsidRPr="007C52BF" w:rsidRDefault="00EA27DC" w:rsidP="008D0F86">
            <w:pPr>
              <w:rPr>
                <w:rFonts w:ascii="Arial" w:hAnsi="Arial" w:cs="Arial"/>
              </w:rPr>
            </w:pPr>
            <w:r w:rsidRPr="007C52BF">
              <w:rPr>
                <w:rFonts w:ascii="Arial" w:eastAsia="Times New Roman" w:hAnsi="Arial" w:cs="Arial"/>
                <w:color w:val="000000"/>
              </w:rPr>
              <w:t>SUT</w:t>
            </w:r>
          </w:p>
        </w:tc>
        <w:tc>
          <w:tcPr>
            <w:tcW w:w="1350" w:type="dxa"/>
            <w:tcBorders>
              <w:top w:val="nil"/>
              <w:left w:val="nil"/>
              <w:bottom w:val="nil"/>
              <w:right w:val="nil"/>
            </w:tcBorders>
            <w:shd w:val="clear" w:color="auto" w:fill="auto"/>
            <w:vAlign w:val="bottom"/>
          </w:tcPr>
          <w:p w14:paraId="5FBD683D" w14:textId="77777777" w:rsidR="00EA27DC" w:rsidRPr="007C52BF" w:rsidRDefault="00EA27DC" w:rsidP="008D0F86">
            <w:pPr>
              <w:rPr>
                <w:rFonts w:ascii="Arial" w:hAnsi="Arial" w:cs="Arial"/>
              </w:rPr>
            </w:pPr>
            <w:r w:rsidRPr="007C52BF">
              <w:rPr>
                <w:rFonts w:ascii="Arial" w:eastAsia="Times New Roman" w:hAnsi="Arial" w:cs="Arial"/>
                <w:color w:val="000000"/>
              </w:rPr>
              <w:t>847</w:t>
            </w:r>
          </w:p>
        </w:tc>
        <w:tc>
          <w:tcPr>
            <w:tcW w:w="5680" w:type="dxa"/>
            <w:tcBorders>
              <w:top w:val="nil"/>
              <w:left w:val="nil"/>
              <w:bottom w:val="nil"/>
              <w:right w:val="nil"/>
            </w:tcBorders>
            <w:shd w:val="clear" w:color="auto" w:fill="auto"/>
          </w:tcPr>
          <w:p w14:paraId="0054DB5C" w14:textId="77777777" w:rsidR="00EA27DC" w:rsidRPr="007C52BF" w:rsidRDefault="00EA27DC" w:rsidP="008D0F86">
            <w:pPr>
              <w:rPr>
                <w:rFonts w:ascii="Arial" w:eastAsia="Times New Roman" w:hAnsi="Arial" w:cs="Arial"/>
                <w:color w:val="000000"/>
              </w:rPr>
            </w:pPr>
            <w:r w:rsidRPr="007C52BF">
              <w:rPr>
                <w:rFonts w:ascii="Arial" w:eastAsia="Times New Roman" w:hAnsi="Arial" w:cs="Arial"/>
                <w:color w:val="000000"/>
              </w:rPr>
              <w:fldChar w:fldCharType="begin" w:fldLock="1"/>
            </w:r>
            <w:r w:rsidRPr="007C52BF">
              <w:rPr>
                <w:rFonts w:ascii="Arial" w:eastAsia="Times New Roman" w:hAnsi="Arial" w:cs="Arial"/>
                <w:color w:val="000000"/>
              </w:rPr>
              <w:instrText>ADDIN CSL_CITATION {"citationItems":[{"id":"ITEM-1","itemData":{"DOI":"10.1038/nature07728","ISBN":"0028-0836","ISSN":"1476-4687","PMID":"19169243","abstract":"Genome-wide pervasive transcription has been reported in many eukaryotic organisms, revealing a highly interleaved transcriptome organization that involves hundreds of previously unknown non-coding RNAs. These recently identified transcripts either exist stably in cells (stable unannotated transcripts, SUTs) or are rapidly degraded by the RNA surveillance pathway (cryptic unstable transcripts, CUTs). One characteristic of pervasive transcription is the extensive overlap of SUTs and CUTs with previously annotated features, which prompts questions regarding how these transcripts are generated, and whether they exert function. Single-gene studies have shown that transcription of SUTs and CUTs can be functional, through mechanisms involving the generated RNAs or their generation itself. So far, a complete transcriptome architecture including SUTs and CUTs has not been described in any organism. Knowledge about the position and genome-wide arrangement of these transcripts will be instrumental in understanding their function. Here we provide a comprehensive analysis of these transcripts in the context of multiple conditions, a mutant of the exosome machinery and different strain backgrounds of Saccharomyces cerevisiae. We show that both SUTs and CUTs display distinct patterns of distribution at specific locations. Most of the newly identified transcripts initiate from nucleosome-free regions (NFRs) associated with the promoters of other transcripts (mostly protein-coding genes), or from NFRs at the 3' ends of protein-coding genes. Likewise, about half of all coding transcripts initiate from NFRs associated with promoters of other transcripts. These data change our view of how a genome is transcribed, indicating that bidirectionality is an inherent feature of promoters. Such an arrangement of divergent and overlapping transcripts may provide a mechanism for local spreading of regulatory signals-that is, coupling the transcriptional regulation of neighbouring genes by means of transcriptional interference or histone modification.","author":[{"dropping-particle":"","family":"Xu","given":"Zhenyu","non-dropping-particle":"","parse-names":false,"suffix":""},{"dropping-particle":"","family":"Wei","given":"Wu","non-dropping-particle":"","parse-names":false,"suffix":""},{"dropping-particle":"","family":"Gagneur","given":"Julien","non-dropping-particle":"","parse-names":false,"suffix":""},{"dropping-particle":"","family":"Perocchi","given":"Fabiana","non-dropping-particle":"","parse-names":false,"suffix":""},{"dropping-particle":"","family":"Clauder-Münster","given":"Sandra","non-dropping-particle":"","parse-names":false,"suffix":""},{"dropping-particle":"","family":"Camblong","given":"Jurgi","non-dropping-particle":"","parse-names":false,"suffix":""},{"dropping-particle":"","family":"Guffanti","given":"Elisa","non-dropping-particle":"","parse-names":false,"suffix":""},{"dropping-particle":"","family":"Stutz","given":"Françoise","non-dropping-particle":"","parse-names":false,"suffix":""},{"dropping-particle":"","family":"Huber","given":"Wolfgang","non-dropping-particle":"","parse-names":false,"suffix":""},{"dropping-particle":"","family":"Steinmetz","given":"Lars M","non-dropping-particle":"","parse-names":false,"suffix":""}],"container-title":"Nature","id":"ITEM-1","issue":"7232","issued":{"date-parts":[["2009"]]},"page":"1033-7","title":"Bidirectional promoters generate pervasive transcription in yeast.","type":"article-journal","volume":"457"},"uris":["http://www.mendeley.com/documents/?uuid=f5249697-7d90-489a-b1d5-c7c9b6c74ef5"]}],"mendeley":{"formattedCitation":"(Xu &lt;i&gt;et al.&lt;/i&gt; 2009)","manualFormatting":"Xu et al., 2009","plainTextFormattedCitation":"(Xu et al. 2009)","previouslyFormattedCitation":"(Xu &lt;i&gt;et al.&lt;/i&gt; 2009)"},"properties":{"noteIndex":0},"schema":"https://github.com/citation-style-language/schema/raw/master/csl-citation.json"}</w:instrText>
            </w:r>
            <w:r w:rsidRPr="007C52BF">
              <w:rPr>
                <w:rFonts w:ascii="Arial" w:eastAsia="Times New Roman" w:hAnsi="Arial" w:cs="Arial"/>
                <w:color w:val="000000"/>
              </w:rPr>
              <w:fldChar w:fldCharType="separate"/>
            </w:r>
            <w:r w:rsidRPr="007C52BF">
              <w:rPr>
                <w:rFonts w:ascii="Arial" w:eastAsia="Times New Roman" w:hAnsi="Arial" w:cs="Arial"/>
                <w:noProof/>
                <w:color w:val="000000"/>
              </w:rPr>
              <w:t>Xu et al., 2009</w:t>
            </w:r>
            <w:r w:rsidRPr="007C52BF">
              <w:rPr>
                <w:rFonts w:ascii="Arial" w:eastAsia="Times New Roman" w:hAnsi="Arial" w:cs="Arial"/>
                <w:color w:val="000000"/>
              </w:rPr>
              <w:fldChar w:fldCharType="end"/>
            </w:r>
          </w:p>
        </w:tc>
      </w:tr>
      <w:tr w:rsidR="00EA27DC" w:rsidRPr="007C52BF" w14:paraId="06404782" w14:textId="77777777" w:rsidTr="008D0F86">
        <w:trPr>
          <w:jc w:val="center"/>
        </w:trPr>
        <w:tc>
          <w:tcPr>
            <w:tcW w:w="1615" w:type="dxa"/>
            <w:tcBorders>
              <w:top w:val="nil"/>
              <w:left w:val="nil"/>
              <w:bottom w:val="nil"/>
              <w:right w:val="nil"/>
            </w:tcBorders>
            <w:shd w:val="clear" w:color="auto" w:fill="auto"/>
            <w:vAlign w:val="bottom"/>
          </w:tcPr>
          <w:p w14:paraId="2F010E2E" w14:textId="77777777" w:rsidR="00EA27DC" w:rsidRPr="007C52BF" w:rsidRDefault="00EA27DC" w:rsidP="008D0F86">
            <w:pPr>
              <w:rPr>
                <w:rFonts w:ascii="Arial" w:hAnsi="Arial" w:cs="Arial"/>
              </w:rPr>
            </w:pPr>
            <w:r w:rsidRPr="007C52BF">
              <w:rPr>
                <w:rFonts w:ascii="Arial" w:eastAsia="Times New Roman" w:hAnsi="Arial" w:cs="Arial"/>
                <w:color w:val="000000"/>
              </w:rPr>
              <w:t>NUT</w:t>
            </w:r>
          </w:p>
        </w:tc>
        <w:tc>
          <w:tcPr>
            <w:tcW w:w="1350" w:type="dxa"/>
            <w:tcBorders>
              <w:top w:val="nil"/>
              <w:left w:val="nil"/>
              <w:bottom w:val="nil"/>
              <w:right w:val="nil"/>
            </w:tcBorders>
            <w:shd w:val="clear" w:color="auto" w:fill="auto"/>
            <w:vAlign w:val="bottom"/>
          </w:tcPr>
          <w:p w14:paraId="5689B9E0" w14:textId="77777777" w:rsidR="00EA27DC" w:rsidRPr="007C52BF" w:rsidRDefault="00EA27DC" w:rsidP="008D0F86">
            <w:pPr>
              <w:rPr>
                <w:rFonts w:ascii="Arial" w:hAnsi="Arial" w:cs="Arial"/>
              </w:rPr>
            </w:pPr>
            <w:r w:rsidRPr="007C52BF">
              <w:rPr>
                <w:rFonts w:ascii="Arial" w:eastAsia="Times New Roman" w:hAnsi="Arial" w:cs="Arial"/>
                <w:color w:val="000000"/>
              </w:rPr>
              <w:t>1526</w:t>
            </w:r>
          </w:p>
        </w:tc>
        <w:tc>
          <w:tcPr>
            <w:tcW w:w="5680" w:type="dxa"/>
            <w:tcBorders>
              <w:top w:val="nil"/>
              <w:left w:val="nil"/>
              <w:bottom w:val="nil"/>
              <w:right w:val="nil"/>
            </w:tcBorders>
            <w:shd w:val="clear" w:color="auto" w:fill="auto"/>
          </w:tcPr>
          <w:p w14:paraId="7CACA4EE" w14:textId="77777777" w:rsidR="00EA27DC" w:rsidRPr="007C52BF" w:rsidRDefault="00EA27DC" w:rsidP="008D0F86">
            <w:pPr>
              <w:rPr>
                <w:rFonts w:ascii="Arial" w:eastAsia="Times New Roman" w:hAnsi="Arial" w:cs="Arial"/>
                <w:color w:val="000000"/>
              </w:rPr>
            </w:pPr>
            <w:r w:rsidRPr="007C52BF">
              <w:rPr>
                <w:rFonts w:ascii="Arial" w:eastAsia="Times New Roman" w:hAnsi="Arial" w:cs="Arial"/>
                <w:color w:val="000000"/>
              </w:rPr>
              <w:fldChar w:fldCharType="begin" w:fldLock="1"/>
            </w:r>
            <w:r w:rsidRPr="007C52BF">
              <w:rPr>
                <w:rFonts w:ascii="Arial" w:eastAsia="Times New Roman" w:hAnsi="Arial" w:cs="Arial"/>
                <w:color w:val="000000"/>
              </w:rPr>
              <w:instrText>ADDIN CSL_CITATION {"citationItems":[{"id":"ITEM-1","itemData":{"DOI":"10.1016/j.cell.2013.10.024","ISBN":"0092-8674","ISSN":"00928674","PMID":"24210918","abstract":"Pervasive transcription of eukaryotic genomes stems to a large extent from bidirectional promoters that synthesize mRNA and divergent noncoding RNA (ncRNA). Here, we show that ncRNA transcription in the yeast S. cerevisiae is globally restricted by early termination that relies on the essential RNA-binding factor Nrd1. Depletion of Nrd1 from the nucleus results in 1,526 Nrd1-unterminated transcripts (NUTs) that originate from nucleosome-depleted regions (NDRs) and can deregulate mRNA synthesis by antisense repression and transcription interference. Transcriptome-wide Nrd1-binding maps reveal divergent NUTs at most promoters and antisense NUTs in most 3??? regions of genes. Nrd1 and its partner Nab3 preferentially bind RNA motifs that are depleted in mRNAs and enriched in ncRNAs and some mRNAs whose synthesis is controlled by transcription attenuation. These results define a global mechanism for transcriptome surveillance that selectively terminates ncRNA synthesis to provide promoter directionality and to suppress antisense transcription. ?? 2013 Elsevier Inc.","author":[{"dropping-particle":"","family":"Schulz","given":"Daniel","non-dropping-particle":"","parse-names":false,"suffix":""},{"dropping-particle":"","family":"Schwalb","given":"Bjoern","non-dropping-particle":"","parse-names":false,"suffix":""},{"dropping-particle":"","family":"Kiesel","given":"Anja","non-dropping-particle":"","parse-names":false,"suffix":""},{"dropping-particle":"","family":"Baejen","given":"Carlo","non-dropping-particle":"","parse-names":false,"suffix":""},{"dropping-particle":"","family":"Torkler","given":"Phillipp","non-dropping-particle":"","parse-names":false,"suffix":""},{"dropping-particle":"","family":"Gagneur","given":"Julien","non-dropping-particle":"","parse-names":false,"suffix":""},{"dropping-particle":"","family":"Soeding","given":"Johannes","non-dropping-particle":"","parse-names":false,"suffix":""},{"dropping-particle":"","family":"Cramer","given":"Patrick","non-dropping-particle":"","parse-names":false,"suffix":""}],"container-title":"Cell","id":"ITEM-1","issue":"5","issued":{"date-parts":[["2013"]]},"page":"1075-1087","publisher":"Elsevier","title":"Transcriptome surveillance by selective termination of noncoding RNA synthesis","type":"article-journal","volume":"155"},"uris":["http://www.mendeley.com/documents/?uuid=98fb59f3-5d1d-4b92-a7bb-49963c94e2eb"]}],"mendeley":{"formattedCitation":"(Schulz &lt;i&gt;et al.&lt;/i&gt; 2013)","manualFormatting":"Schulz et al., 2013","plainTextFormattedCitation":"(Schulz et al. 2013)","previouslyFormattedCitation":"(Schulz &lt;i&gt;et al.&lt;/i&gt; 2013)"},"properties":{"noteIndex":0},"schema":"https://github.com/citation-style-language/schema/raw/master/csl-citation.json"}</w:instrText>
            </w:r>
            <w:r w:rsidRPr="007C52BF">
              <w:rPr>
                <w:rFonts w:ascii="Arial" w:eastAsia="Times New Roman" w:hAnsi="Arial" w:cs="Arial"/>
                <w:color w:val="000000"/>
              </w:rPr>
              <w:fldChar w:fldCharType="separate"/>
            </w:r>
            <w:r w:rsidRPr="007C52BF">
              <w:rPr>
                <w:rFonts w:ascii="Arial" w:eastAsia="Times New Roman" w:hAnsi="Arial" w:cs="Arial"/>
                <w:noProof/>
                <w:color w:val="000000"/>
              </w:rPr>
              <w:t>Schulz et al., 2013</w:t>
            </w:r>
            <w:r w:rsidRPr="007C52BF">
              <w:rPr>
                <w:rFonts w:ascii="Arial" w:eastAsia="Times New Roman" w:hAnsi="Arial" w:cs="Arial"/>
                <w:color w:val="000000"/>
              </w:rPr>
              <w:fldChar w:fldCharType="end"/>
            </w:r>
          </w:p>
        </w:tc>
      </w:tr>
      <w:tr w:rsidR="00EA27DC" w:rsidRPr="007C52BF" w14:paraId="3FAD733B" w14:textId="77777777" w:rsidTr="008D0F86">
        <w:trPr>
          <w:jc w:val="center"/>
        </w:trPr>
        <w:tc>
          <w:tcPr>
            <w:tcW w:w="1615" w:type="dxa"/>
            <w:tcBorders>
              <w:top w:val="nil"/>
              <w:left w:val="nil"/>
              <w:bottom w:val="nil"/>
              <w:right w:val="nil"/>
            </w:tcBorders>
            <w:shd w:val="clear" w:color="auto" w:fill="auto"/>
            <w:vAlign w:val="bottom"/>
          </w:tcPr>
          <w:p w14:paraId="6B04023E" w14:textId="77777777" w:rsidR="00EA27DC" w:rsidRPr="007C52BF" w:rsidRDefault="00EA27DC" w:rsidP="008D0F86">
            <w:pPr>
              <w:rPr>
                <w:rFonts w:ascii="Arial" w:hAnsi="Arial" w:cs="Arial"/>
              </w:rPr>
            </w:pPr>
            <w:r w:rsidRPr="007C52BF">
              <w:rPr>
                <w:rFonts w:ascii="Arial" w:eastAsia="Times New Roman" w:hAnsi="Arial" w:cs="Arial"/>
                <w:color w:val="000000"/>
              </w:rPr>
              <w:t>XUT</w:t>
            </w:r>
          </w:p>
        </w:tc>
        <w:tc>
          <w:tcPr>
            <w:tcW w:w="1350" w:type="dxa"/>
            <w:tcBorders>
              <w:top w:val="nil"/>
              <w:left w:val="nil"/>
              <w:bottom w:val="nil"/>
              <w:right w:val="nil"/>
            </w:tcBorders>
            <w:shd w:val="clear" w:color="auto" w:fill="auto"/>
            <w:vAlign w:val="bottom"/>
          </w:tcPr>
          <w:p w14:paraId="13D6F153" w14:textId="77777777" w:rsidR="00EA27DC" w:rsidRPr="007C52BF" w:rsidRDefault="00EA27DC" w:rsidP="008D0F86">
            <w:pPr>
              <w:rPr>
                <w:rFonts w:ascii="Arial" w:hAnsi="Arial" w:cs="Arial"/>
              </w:rPr>
            </w:pPr>
            <w:r w:rsidRPr="007C52BF">
              <w:rPr>
                <w:rFonts w:ascii="Arial" w:eastAsia="Times New Roman" w:hAnsi="Arial" w:cs="Arial"/>
                <w:color w:val="000000"/>
              </w:rPr>
              <w:t>1657</w:t>
            </w:r>
          </w:p>
        </w:tc>
        <w:tc>
          <w:tcPr>
            <w:tcW w:w="5680" w:type="dxa"/>
            <w:tcBorders>
              <w:top w:val="nil"/>
              <w:left w:val="nil"/>
              <w:bottom w:val="nil"/>
              <w:right w:val="nil"/>
            </w:tcBorders>
            <w:shd w:val="clear" w:color="auto" w:fill="auto"/>
          </w:tcPr>
          <w:p w14:paraId="37F4A6BD" w14:textId="77777777" w:rsidR="00EA27DC" w:rsidRPr="007C52BF" w:rsidRDefault="00EA27DC" w:rsidP="008D0F86">
            <w:pPr>
              <w:rPr>
                <w:rFonts w:ascii="Arial" w:eastAsia="Times New Roman" w:hAnsi="Arial" w:cs="Arial"/>
                <w:color w:val="000000"/>
              </w:rPr>
            </w:pPr>
            <w:r w:rsidRPr="007C52BF">
              <w:rPr>
                <w:rFonts w:ascii="Arial" w:eastAsia="Times New Roman" w:hAnsi="Arial" w:cs="Arial"/>
                <w:color w:val="000000"/>
              </w:rPr>
              <w:fldChar w:fldCharType="begin" w:fldLock="1"/>
            </w:r>
            <w:r w:rsidRPr="007C52BF">
              <w:rPr>
                <w:rFonts w:ascii="Arial" w:eastAsia="Times New Roman" w:hAnsi="Arial" w:cs="Arial"/>
                <w:color w:val="000000"/>
              </w:rPr>
              <w:instrText>ADDIN CSL_CITATION {"citationItems":[{"id":"ITEM-1","itemData":{"DOI":"10.1038/nature10118","ISBN":"1476-4687 (Electronic) 0028-0836 (Linking)","ISSN":"1476-4687","PMID":"21697827","abstract":"Non-coding (nc)RNAs are key players in numerous biological processes such as gene regulation, chromatin domain formation and genome stability. Large ncRNAs interact with histone modifiers and are involved in cancer development, X-chromosome inactivation and autosomal gene imprinting. However, despite recent evidence showing that pervasive transcription is more widespread than previously thought, only a few examples mediating gene regulation in eukaryotes have been described. In Saccharomyces cerevisiae, the bona-fide regulatory ncRNAs are destabilized by the Xrn1 5'-3' RNA exonuclease (also known as Kem1), but the genome-wide characterization of the entire regulatory ncRNA family remains elusive. Here, using strand-specific RNA sequencing (RNA-seq), we identify a novel class of 1,658 Xrn1-sensitive unstable transcripts (XUTs) in which 66% are antisense to open reading frames. These transcripts are polyadenylated and RNA polymerase II (RNAPII)-dependent. The majority of XUTs strongly accumulate in lithium-containing media, indicating that they might have a role in adaptive responses to changes in growth conditions. Notably, RNAPII chromatin immunoprecipitation followed by DNA sequencing (ChIP-seq) analysis of Xrn1-deficient strains revealed a significant decrease of RNAPII occupancy over 273 genes with antisense XUTs. These genes show an unusual bias for H3K4me3 marks and require the Set1 histone H3 lysine 4 methyl-transferase for silencing. Furthermore, abolishing H3K4me3 triggers the silencing of other genes with antisense XUTs, supporting a model in which H3K4me3 antagonizes antisense ncRNA repressive activity. Our results demonstrate that antisense ncRNA-mediated regulation is a general regulatory pathway for gene expression in S. cerevisiae.","author":[{"dropping-particle":"","family":"Dijk","given":"E L","non-dropping-particle":"van","parse-names":false,"suffix":""},{"dropping-particle":"","family":"Chen","given":"C L","non-dropping-particle":"","parse-names":false,"suffix":""},{"dropping-particle":"","family":"D'Aubenton-Carafa","given":"Y","non-dropping-particle":"","parse-names":false,"suffix":""},{"dropping-particle":"","family":"Gourvennec","given":"S","non-dropping-particle":"","parse-names":false,"suffix":""},{"dropping-particle":"","family":"Kwapisz","given":"M","non-dropping-particle":"","parse-names":false,"suffix":""},{"dropping-particle":"","family":"Roche","given":"V","non-dropping-particle":"","parse-names":false,"suffix":""},{"dropping-particle":"","family":"Bertrand","given":"C","non-dropping-particle":"","parse-names":false,"suffix":""},{"dropping-particle":"","family":"Silvain","given":"M","non-dropping-particle":"","parse-names":false,"suffix":""},{"dropping-particle":"","family":"Legoix-Né","given":"P","non-dropping-particle":"","parse-names":false,"suffix":""},{"dropping-particle":"","family":"Loeillet","given":"S","non-dropping-particle":"","parse-names":false,"suffix":""},{"dropping-particle":"","family":"Nicolas","given":"A","non-dropping-particle":"","parse-names":false,"suffix":""},{"dropping-particle":"","family":"Thermes","given":"C","non-dropping-particle":"","parse-names":false,"suffix":""},{"dropping-particle":"","family":"Morillon","given":"A","non-dropping-particle":"","parse-names":false,"suffix":""}],"container-title":"Nature","id":"ITEM-1","issue":"7354","issued":{"date-parts":[["2011"]]},"page":"114-7","publisher":"Nature Publishing Group","title":"XUTs are a class of Xrn1-sensitive antisense regulatory non-coding RNA in yeast.","type":"article-journal","volume":"475"},"uris":["http://www.mendeley.com/documents/?uuid=29c22280-174f-42ab-9587-69721261df30"]}],"mendeley":{"formattedCitation":"(van Dijk &lt;i&gt;et al.&lt;/i&gt; 2011)","manualFormatting":"van Dijk et al., 2011","plainTextFormattedCitation":"(van Dijk et al. 2011)","previouslyFormattedCitation":"(van Dijk &lt;i&gt;et al.&lt;/i&gt; 2011)"},"properties":{"noteIndex":0},"schema":"https://github.com/citation-style-language/schema/raw/master/csl-citation.json"}</w:instrText>
            </w:r>
            <w:r w:rsidRPr="007C52BF">
              <w:rPr>
                <w:rFonts w:ascii="Arial" w:eastAsia="Times New Roman" w:hAnsi="Arial" w:cs="Arial"/>
                <w:color w:val="000000"/>
              </w:rPr>
              <w:fldChar w:fldCharType="separate"/>
            </w:r>
            <w:r w:rsidRPr="007C52BF">
              <w:rPr>
                <w:rFonts w:ascii="Arial" w:eastAsia="Times New Roman" w:hAnsi="Arial" w:cs="Arial"/>
                <w:noProof/>
                <w:color w:val="000000"/>
              </w:rPr>
              <w:t>van Dijk et al., 2011</w:t>
            </w:r>
            <w:r w:rsidRPr="007C52BF">
              <w:rPr>
                <w:rFonts w:ascii="Arial" w:eastAsia="Times New Roman" w:hAnsi="Arial" w:cs="Arial"/>
                <w:color w:val="000000"/>
              </w:rPr>
              <w:fldChar w:fldCharType="end"/>
            </w:r>
          </w:p>
        </w:tc>
      </w:tr>
      <w:tr w:rsidR="00EA27DC" w:rsidRPr="007C52BF" w14:paraId="764D3667" w14:textId="77777777" w:rsidTr="008D0F86">
        <w:trPr>
          <w:jc w:val="center"/>
        </w:trPr>
        <w:tc>
          <w:tcPr>
            <w:tcW w:w="1615" w:type="dxa"/>
            <w:tcBorders>
              <w:top w:val="nil"/>
              <w:left w:val="nil"/>
              <w:bottom w:val="single" w:sz="4" w:space="0" w:color="auto"/>
              <w:right w:val="nil"/>
            </w:tcBorders>
            <w:shd w:val="clear" w:color="auto" w:fill="auto"/>
            <w:vAlign w:val="bottom"/>
          </w:tcPr>
          <w:p w14:paraId="7C2A7EB7" w14:textId="77777777" w:rsidR="00EA27DC" w:rsidRPr="007C52BF" w:rsidRDefault="00EA27DC" w:rsidP="008D0F86">
            <w:pPr>
              <w:rPr>
                <w:rFonts w:ascii="Arial" w:hAnsi="Arial" w:cs="Arial"/>
              </w:rPr>
            </w:pPr>
            <w:r w:rsidRPr="007C52BF">
              <w:rPr>
                <w:rFonts w:ascii="Arial" w:eastAsia="Times New Roman" w:hAnsi="Arial" w:cs="Arial"/>
                <w:color w:val="000000"/>
              </w:rPr>
              <w:t>SRAT</w:t>
            </w:r>
          </w:p>
        </w:tc>
        <w:tc>
          <w:tcPr>
            <w:tcW w:w="1350" w:type="dxa"/>
            <w:tcBorders>
              <w:top w:val="nil"/>
              <w:left w:val="nil"/>
              <w:bottom w:val="single" w:sz="4" w:space="0" w:color="auto"/>
              <w:right w:val="nil"/>
            </w:tcBorders>
            <w:shd w:val="clear" w:color="auto" w:fill="auto"/>
            <w:vAlign w:val="bottom"/>
          </w:tcPr>
          <w:p w14:paraId="054C1BFC" w14:textId="77777777" w:rsidR="00EA27DC" w:rsidRPr="007C52BF" w:rsidRDefault="00EA27DC" w:rsidP="008D0F86">
            <w:pPr>
              <w:rPr>
                <w:rFonts w:ascii="Arial" w:hAnsi="Arial" w:cs="Arial"/>
              </w:rPr>
            </w:pPr>
            <w:r w:rsidRPr="007C52BF">
              <w:rPr>
                <w:rFonts w:ascii="Arial" w:eastAsia="Times New Roman" w:hAnsi="Arial" w:cs="Arial"/>
                <w:color w:val="000000"/>
              </w:rPr>
              <w:t>532</w:t>
            </w:r>
          </w:p>
        </w:tc>
        <w:tc>
          <w:tcPr>
            <w:tcW w:w="5680" w:type="dxa"/>
            <w:tcBorders>
              <w:top w:val="nil"/>
              <w:left w:val="nil"/>
              <w:bottom w:val="single" w:sz="4" w:space="0" w:color="auto"/>
              <w:right w:val="nil"/>
            </w:tcBorders>
            <w:shd w:val="clear" w:color="auto" w:fill="auto"/>
          </w:tcPr>
          <w:p w14:paraId="53DA3C6E" w14:textId="77777777" w:rsidR="00EA27DC" w:rsidRPr="007C52BF" w:rsidRDefault="00EA27DC" w:rsidP="008D0F86">
            <w:pPr>
              <w:rPr>
                <w:rFonts w:ascii="Arial" w:eastAsia="Times New Roman" w:hAnsi="Arial" w:cs="Arial"/>
                <w:color w:val="000000"/>
              </w:rPr>
            </w:pPr>
            <w:r>
              <w:rPr>
                <w:rFonts w:ascii="Arial" w:eastAsia="Times New Roman" w:hAnsi="Arial" w:cs="Arial"/>
                <w:color w:val="000000"/>
              </w:rPr>
              <w:t>Venkatesh et al., 2016</w:t>
            </w:r>
          </w:p>
        </w:tc>
      </w:tr>
      <w:tr w:rsidR="00EA27DC" w:rsidRPr="007C52BF" w14:paraId="2314266D" w14:textId="77777777" w:rsidTr="008D0F86">
        <w:trPr>
          <w:jc w:val="center"/>
        </w:trPr>
        <w:tc>
          <w:tcPr>
            <w:tcW w:w="1615" w:type="dxa"/>
            <w:tcBorders>
              <w:top w:val="single" w:sz="4" w:space="0" w:color="auto"/>
              <w:left w:val="nil"/>
              <w:bottom w:val="nil"/>
              <w:right w:val="nil"/>
            </w:tcBorders>
            <w:shd w:val="clear" w:color="auto" w:fill="auto"/>
            <w:vAlign w:val="bottom"/>
          </w:tcPr>
          <w:p w14:paraId="0B2D0395" w14:textId="77777777" w:rsidR="00EA27DC" w:rsidRPr="007C52BF" w:rsidRDefault="00EA27DC" w:rsidP="008D0F86">
            <w:pPr>
              <w:rPr>
                <w:rFonts w:ascii="Arial" w:eastAsia="Times New Roman" w:hAnsi="Arial" w:cs="Arial"/>
                <w:color w:val="000000"/>
              </w:rPr>
            </w:pPr>
            <w:r w:rsidRPr="007C52BF">
              <w:rPr>
                <w:rFonts w:ascii="Arial" w:eastAsia="Times New Roman" w:hAnsi="Arial" w:cs="Arial"/>
                <w:color w:val="000000"/>
              </w:rPr>
              <w:t>Sum</w:t>
            </w:r>
          </w:p>
        </w:tc>
        <w:tc>
          <w:tcPr>
            <w:tcW w:w="1350" w:type="dxa"/>
            <w:tcBorders>
              <w:top w:val="single" w:sz="4" w:space="0" w:color="auto"/>
              <w:left w:val="nil"/>
              <w:bottom w:val="nil"/>
              <w:right w:val="nil"/>
            </w:tcBorders>
            <w:shd w:val="clear" w:color="auto" w:fill="auto"/>
            <w:vAlign w:val="bottom"/>
          </w:tcPr>
          <w:p w14:paraId="58EF2FD6" w14:textId="77777777" w:rsidR="00EA27DC" w:rsidRPr="007C52BF" w:rsidRDefault="00EA27DC" w:rsidP="008D0F86">
            <w:pPr>
              <w:rPr>
                <w:rFonts w:ascii="Arial" w:eastAsia="Times New Roman" w:hAnsi="Arial" w:cs="Arial"/>
                <w:color w:val="000000"/>
              </w:rPr>
            </w:pPr>
            <w:r w:rsidRPr="007C52BF">
              <w:rPr>
                <w:rFonts w:ascii="Arial" w:eastAsia="Times New Roman" w:hAnsi="Arial" w:cs="Arial"/>
                <w:color w:val="000000"/>
              </w:rPr>
              <w:t>12164</w:t>
            </w:r>
          </w:p>
        </w:tc>
        <w:tc>
          <w:tcPr>
            <w:tcW w:w="5680" w:type="dxa"/>
            <w:tcBorders>
              <w:top w:val="single" w:sz="4" w:space="0" w:color="auto"/>
              <w:left w:val="nil"/>
              <w:bottom w:val="nil"/>
              <w:right w:val="nil"/>
            </w:tcBorders>
            <w:shd w:val="clear" w:color="auto" w:fill="auto"/>
          </w:tcPr>
          <w:p w14:paraId="6B0B143C" w14:textId="77777777" w:rsidR="00EA27DC" w:rsidRPr="007C52BF" w:rsidRDefault="00EA27DC" w:rsidP="008D0F86">
            <w:pPr>
              <w:rPr>
                <w:rFonts w:ascii="Arial" w:eastAsia="Times New Roman" w:hAnsi="Arial" w:cs="Arial"/>
                <w:color w:val="000000"/>
              </w:rPr>
            </w:pPr>
          </w:p>
        </w:tc>
      </w:tr>
    </w:tbl>
    <w:p w14:paraId="5712FB56" w14:textId="77777777" w:rsidR="00EA27DC" w:rsidRPr="00434483" w:rsidRDefault="00EA27DC" w:rsidP="00EA27DC">
      <w:pPr>
        <w:rPr>
          <w:rFonts w:ascii="Arial" w:hAnsi="Arial" w:cs="Arial"/>
          <w:b/>
        </w:rPr>
      </w:pPr>
    </w:p>
    <w:p w14:paraId="0E4106FC" w14:textId="77777777" w:rsidR="00EA27DC" w:rsidRPr="009029C8" w:rsidRDefault="00EA27DC" w:rsidP="00EA27DC">
      <w:pPr>
        <w:rPr>
          <w:rFonts w:ascii="Arial" w:hAnsi="Arial" w:cs="Arial"/>
        </w:rPr>
      </w:pPr>
      <w:r>
        <w:rPr>
          <w:rFonts w:ascii="Arial" w:hAnsi="Arial" w:cs="Arial"/>
        </w:rPr>
        <w:t>Count refers to the number of transcripts in each class</w:t>
      </w:r>
      <w:r w:rsidRPr="009029C8">
        <w:rPr>
          <w:rFonts w:ascii="Arial" w:hAnsi="Arial" w:cs="Arial"/>
        </w:rPr>
        <w:t xml:space="preserve"> </w:t>
      </w:r>
      <w:r>
        <w:rPr>
          <w:rFonts w:ascii="Arial" w:hAnsi="Arial" w:cs="Arial"/>
        </w:rPr>
        <w:t xml:space="preserve">assessed </w:t>
      </w:r>
      <w:r w:rsidRPr="009029C8">
        <w:rPr>
          <w:rFonts w:ascii="Arial" w:hAnsi="Arial" w:cs="Arial"/>
        </w:rPr>
        <w:t>in this study</w:t>
      </w:r>
      <w:r>
        <w:rPr>
          <w:rFonts w:ascii="Arial" w:hAnsi="Arial" w:cs="Arial"/>
        </w:rPr>
        <w:t xml:space="preserve">. Sources of transcript annotations are listed. </w:t>
      </w:r>
    </w:p>
    <w:p w14:paraId="5E5F487C" w14:textId="77777777" w:rsidR="00112952" w:rsidRDefault="00EA27DC">
      <w:bookmarkStart w:id="0" w:name="_GoBack"/>
      <w:bookmarkEnd w:id="0"/>
    </w:p>
    <w:sectPr w:rsidR="00112952" w:rsidSect="00ED6843">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DC"/>
    <w:rsid w:val="00014629"/>
    <w:rsid w:val="001C7260"/>
    <w:rsid w:val="001F5E6B"/>
    <w:rsid w:val="003665C4"/>
    <w:rsid w:val="004B536B"/>
    <w:rsid w:val="004B62AE"/>
    <w:rsid w:val="00570E8D"/>
    <w:rsid w:val="00774D93"/>
    <w:rsid w:val="008B7318"/>
    <w:rsid w:val="009473C5"/>
    <w:rsid w:val="00C33FB3"/>
    <w:rsid w:val="00C9069F"/>
    <w:rsid w:val="00CF7356"/>
    <w:rsid w:val="00EA27DC"/>
    <w:rsid w:val="00ED6843"/>
    <w:rsid w:val="00F0588E"/>
    <w:rsid w:val="00F1399D"/>
    <w:rsid w:val="00F6182D"/>
    <w:rsid w:val="00FA76A1"/>
    <w:rsid w:val="00FC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EBAD8"/>
  <w15:chartTrackingRefBased/>
  <w15:docId w15:val="{98F454D2-BB75-8E4E-A9C7-85E3A7C7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2329</Words>
  <Characters>13280</Characters>
  <Application>Microsoft Office Word</Application>
  <DocSecurity>0</DocSecurity>
  <Lines>110</Lines>
  <Paragraphs>31</Paragraphs>
  <ScaleCrop>false</ScaleCrop>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Mitchell</dc:creator>
  <cp:keywords/>
  <dc:description/>
  <cp:lastModifiedBy>Ellison, Mitchell</cp:lastModifiedBy>
  <cp:revision>1</cp:revision>
  <dcterms:created xsi:type="dcterms:W3CDTF">2019-02-28T20:29:00Z</dcterms:created>
  <dcterms:modified xsi:type="dcterms:W3CDTF">2019-02-28T20:29:00Z</dcterms:modified>
</cp:coreProperties>
</file>