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36" w:rsidRPr="008C0713" w:rsidRDefault="00620C36" w:rsidP="00620C36">
      <w:pPr>
        <w:spacing w:after="0" w:line="480" w:lineRule="auto"/>
        <w:rPr>
          <w:b/>
          <w:sz w:val="24"/>
          <w:szCs w:val="24"/>
        </w:rPr>
      </w:pPr>
      <w:r w:rsidRPr="008C0713">
        <w:rPr>
          <w:b/>
          <w:sz w:val="24"/>
          <w:szCs w:val="24"/>
        </w:rPr>
        <w:t>Supplemental Figure Legends</w:t>
      </w:r>
    </w:p>
    <w:p w:rsidR="00620C36" w:rsidRPr="005E62B5" w:rsidRDefault="00620C36" w:rsidP="00620C36">
      <w:pPr>
        <w:spacing w:after="0" w:line="480" w:lineRule="auto"/>
        <w:rPr>
          <w:color w:val="000000" w:themeColor="text1"/>
          <w:sz w:val="24"/>
          <w:szCs w:val="24"/>
        </w:rPr>
      </w:pPr>
      <w:r w:rsidRPr="008C0713">
        <w:rPr>
          <w:b/>
          <w:sz w:val="24"/>
          <w:szCs w:val="24"/>
        </w:rPr>
        <w:t>Suppl. Table 1:</w:t>
      </w:r>
      <w:r w:rsidRPr="008C0713">
        <w:rPr>
          <w:sz w:val="24"/>
          <w:szCs w:val="24"/>
        </w:rPr>
        <w:t xml:space="preserve"> Molecular data associated with StanEx enhancer trap lines (</w:t>
      </w:r>
      <w:r w:rsidRPr="008C0713">
        <w:rPr>
          <w:b/>
          <w:sz w:val="24"/>
          <w:szCs w:val="24"/>
        </w:rPr>
        <w:t>Figure 1)</w:t>
      </w:r>
      <w:r w:rsidRPr="008C0713">
        <w:rPr>
          <w:sz w:val="24"/>
          <w:szCs w:val="24"/>
        </w:rPr>
        <w:t xml:space="preserve">. The data is also available in a searchable format at the StanEx online database </w:t>
      </w:r>
      <w:r w:rsidRPr="00620C36">
        <w:rPr>
          <w:sz w:val="24"/>
          <w:szCs w:val="24"/>
        </w:rPr>
        <w:t xml:space="preserve">http://stanex.stanford.edu/about/. </w:t>
      </w:r>
      <w:r w:rsidRPr="008C0713">
        <w:rPr>
          <w:sz w:val="24"/>
          <w:szCs w:val="24"/>
        </w:rPr>
        <w:t xml:space="preserve">The molecular insertion coordinate is defined as the first nucleotide </w:t>
      </w:r>
      <w:r w:rsidRPr="005E62B5">
        <w:rPr>
          <w:color w:val="000000" w:themeColor="text1"/>
          <w:sz w:val="24"/>
          <w:szCs w:val="24"/>
        </w:rPr>
        <w:t>3’ to the insertion site on the</w:t>
      </w:r>
      <w:r w:rsidRPr="008C0713">
        <w:rPr>
          <w:sz w:val="24"/>
          <w:szCs w:val="24"/>
        </w:rPr>
        <w:t xml:space="preserve"> genomic scaffold</w:t>
      </w:r>
      <w:r>
        <w:rPr>
          <w:sz w:val="24"/>
          <w:szCs w:val="24"/>
        </w:rPr>
        <w:t>,</w:t>
      </w:r>
      <w:r w:rsidRPr="008C0713">
        <w:rPr>
          <w:sz w:val="24"/>
          <w:szCs w:val="24"/>
        </w:rPr>
        <w:t xml:space="preserve"> </w:t>
      </w:r>
      <w:r w:rsidRPr="008C0713">
        <w:rPr>
          <w:i/>
          <w:sz w:val="24"/>
          <w:szCs w:val="24"/>
        </w:rPr>
        <w:t>independent</w:t>
      </w:r>
      <w:r w:rsidRPr="008C0713">
        <w:rPr>
          <w:sz w:val="24"/>
          <w:szCs w:val="24"/>
        </w:rPr>
        <w:t xml:space="preserve"> of the direction of the </w:t>
      </w:r>
      <w:r w:rsidRPr="008C0713">
        <w:rPr>
          <w:i/>
          <w:sz w:val="24"/>
          <w:szCs w:val="24"/>
        </w:rPr>
        <w:t>P</w:t>
      </w:r>
      <w:r w:rsidRPr="008C0713">
        <w:rPr>
          <w:sz w:val="24"/>
          <w:szCs w:val="24"/>
        </w:rPr>
        <w:t>-element insertion</w:t>
      </w:r>
      <w:r w:rsidRPr="005E62B5">
        <w:rPr>
          <w:color w:val="000000" w:themeColor="text1"/>
          <w:sz w:val="24"/>
          <w:szCs w:val="24"/>
        </w:rPr>
        <w:t xml:space="preserve">. Sequences flanking 5’ and 3’ to the StanEx P-element are shown as 5’-&gt;3’ extensions of the sequence primer used, SP1 off the 5’, and Ulf / Berta off the 3’ end of the StanEx P-element, respectively (see Materials and Methods). All sequences deriving from the P-element are removed, and </w:t>
      </w:r>
      <w:proofErr w:type="spellStart"/>
      <w:proofErr w:type="gramStart"/>
      <w:r w:rsidRPr="005E62B5">
        <w:rPr>
          <w:color w:val="000000" w:themeColor="text1"/>
          <w:sz w:val="24"/>
          <w:szCs w:val="24"/>
        </w:rPr>
        <w:t>nt</w:t>
      </w:r>
      <w:proofErr w:type="spellEnd"/>
      <w:proofErr w:type="gramEnd"/>
      <w:r w:rsidRPr="005E62B5">
        <w:rPr>
          <w:color w:val="000000" w:themeColor="text1"/>
          <w:sz w:val="24"/>
          <w:szCs w:val="24"/>
        </w:rPr>
        <w:t xml:space="preserve"> 1 corresponds to the first nucleotide matching the genomic scaffold of </w:t>
      </w:r>
      <w:r w:rsidRPr="005E62B5">
        <w:rPr>
          <w:i/>
          <w:color w:val="000000" w:themeColor="text1"/>
          <w:sz w:val="24"/>
          <w:szCs w:val="24"/>
        </w:rPr>
        <w:t>Drosophila melanogaster</w:t>
      </w:r>
      <w:r w:rsidRPr="005E62B5">
        <w:rPr>
          <w:color w:val="000000" w:themeColor="text1"/>
          <w:sz w:val="24"/>
          <w:szCs w:val="24"/>
        </w:rPr>
        <w:t xml:space="preserve">. Of note, 5’-&gt;3’ oriented P-elements (orientation relative to the genomic scaffold) generate sequences co-directional with the genomic scaffold (+) off their 3’ end, and anti-directional (-) off their 5’ end. The inverse is the case with P-elements oriented 3’-5’. </w:t>
      </w:r>
    </w:p>
    <w:p w:rsidR="00620C36" w:rsidRPr="008C0713" w:rsidRDefault="00620C36" w:rsidP="00620C36">
      <w:pPr>
        <w:spacing w:after="0" w:line="480" w:lineRule="auto"/>
        <w:rPr>
          <w:sz w:val="24"/>
          <w:szCs w:val="24"/>
        </w:rPr>
      </w:pPr>
    </w:p>
    <w:p w:rsidR="00620C36" w:rsidRPr="008C0713" w:rsidRDefault="00620C36" w:rsidP="00620C36">
      <w:pPr>
        <w:spacing w:after="0" w:line="480" w:lineRule="auto"/>
        <w:rPr>
          <w:sz w:val="24"/>
          <w:szCs w:val="24"/>
        </w:rPr>
      </w:pPr>
      <w:r w:rsidRPr="008C0713">
        <w:rPr>
          <w:b/>
          <w:sz w:val="24"/>
          <w:szCs w:val="24"/>
        </w:rPr>
        <w:t>Suppl. Table 2:</w:t>
      </w:r>
      <w:r w:rsidRPr="008C0713">
        <w:rPr>
          <w:sz w:val="24"/>
          <w:szCs w:val="24"/>
        </w:rPr>
        <w:t xml:space="preserve"> Molecular sequence of the 14 bp insertion site of 128 StanEx enhancer trap lines (</w:t>
      </w:r>
      <w:r w:rsidRPr="008C0713">
        <w:rPr>
          <w:b/>
          <w:sz w:val="24"/>
          <w:szCs w:val="24"/>
        </w:rPr>
        <w:t>Figure 3A</w:t>
      </w:r>
      <w:r w:rsidRPr="008C0713">
        <w:rPr>
          <w:sz w:val="24"/>
          <w:szCs w:val="24"/>
        </w:rPr>
        <w:t>). The sequences are oriented according to the strand of insertion. P-elements inserted in 5’-&gt;3’ direction are marked + and are co-directional with the genomic scaffold of the reference sequence. P-elements inserted in 3’-&gt;5’ direction are marked - and the reverse complement of the genomic scaffold sequence is used.</w:t>
      </w:r>
    </w:p>
    <w:p w:rsidR="00620C36" w:rsidRPr="008C0713" w:rsidRDefault="00620C36" w:rsidP="00620C36">
      <w:pPr>
        <w:spacing w:after="0" w:line="480" w:lineRule="auto"/>
        <w:rPr>
          <w:sz w:val="24"/>
          <w:szCs w:val="24"/>
        </w:rPr>
      </w:pPr>
    </w:p>
    <w:p w:rsidR="00620C36" w:rsidRPr="008C0713" w:rsidRDefault="00620C36" w:rsidP="00620C36">
      <w:pPr>
        <w:spacing w:after="0" w:line="480" w:lineRule="auto"/>
        <w:rPr>
          <w:sz w:val="24"/>
          <w:szCs w:val="24"/>
        </w:rPr>
      </w:pPr>
      <w:r w:rsidRPr="008C0713">
        <w:rPr>
          <w:b/>
          <w:sz w:val="24"/>
          <w:szCs w:val="24"/>
        </w:rPr>
        <w:t xml:space="preserve">Suppl. Table 3: </w:t>
      </w:r>
      <w:r w:rsidRPr="008C0713">
        <w:rPr>
          <w:sz w:val="24"/>
          <w:szCs w:val="24"/>
        </w:rPr>
        <w:t xml:space="preserve">Chi-square </w:t>
      </w:r>
      <w:r w:rsidRPr="008C0713">
        <w:rPr>
          <w:i/>
          <w:sz w:val="24"/>
          <w:szCs w:val="24"/>
        </w:rPr>
        <w:t>p</w:t>
      </w:r>
      <w:r w:rsidRPr="008C0713">
        <w:rPr>
          <w:sz w:val="24"/>
          <w:szCs w:val="24"/>
        </w:rPr>
        <w:t>-values of position frequency matrices of StanEx enhancer traps (</w:t>
      </w:r>
      <w:r w:rsidRPr="00091A88">
        <w:rPr>
          <w:b/>
          <w:sz w:val="24"/>
          <w:szCs w:val="24"/>
        </w:rPr>
        <w:t>Figure 3, Suppl. Table 3</w:t>
      </w:r>
      <w:r w:rsidRPr="008C0713">
        <w:rPr>
          <w:sz w:val="24"/>
          <w:szCs w:val="24"/>
        </w:rPr>
        <w:t xml:space="preserve">) versus position frequency matrices of EPgy2, GT, </w:t>
      </w:r>
      <w:proofErr w:type="spellStart"/>
      <w:r w:rsidRPr="008C0713">
        <w:rPr>
          <w:sz w:val="24"/>
          <w:szCs w:val="24"/>
        </w:rPr>
        <w:t>SUPor</w:t>
      </w:r>
      <w:proofErr w:type="spellEnd"/>
      <w:r w:rsidRPr="008C0713">
        <w:rPr>
          <w:sz w:val="24"/>
          <w:szCs w:val="24"/>
        </w:rPr>
        <w:t xml:space="preserve">-P, XP and </w:t>
      </w:r>
      <w:proofErr w:type="spellStart"/>
      <w:proofErr w:type="gramStart"/>
      <w:r w:rsidRPr="008C0713">
        <w:rPr>
          <w:sz w:val="24"/>
          <w:szCs w:val="24"/>
        </w:rPr>
        <w:lastRenderedPageBreak/>
        <w:t>GawB</w:t>
      </w:r>
      <w:proofErr w:type="spellEnd"/>
      <w:r w:rsidRPr="008C0713">
        <w:rPr>
          <w:sz w:val="24"/>
          <w:szCs w:val="24"/>
        </w:rPr>
        <w:t>(</w:t>
      </w:r>
      <w:proofErr w:type="gramEnd"/>
      <w:r w:rsidRPr="008C0713">
        <w:rPr>
          <w:sz w:val="24"/>
          <w:szCs w:val="24"/>
        </w:rPr>
        <w:t>+) enhancer traps as well as their agglomerate. Associated worksheets present primary sequence information and position frequency matrices of individual types of enhancer trap elements and is based on (</w:t>
      </w:r>
      <w:proofErr w:type="spellStart"/>
      <w:r w:rsidRPr="008C0713">
        <w:rPr>
          <w:sz w:val="24"/>
          <w:szCs w:val="24"/>
        </w:rPr>
        <w:t>Linheiro</w:t>
      </w:r>
      <w:proofErr w:type="spellEnd"/>
      <w:r w:rsidRPr="008C0713">
        <w:rPr>
          <w:sz w:val="24"/>
          <w:szCs w:val="24"/>
        </w:rPr>
        <w:t xml:space="preserve"> and Bergman, 2008). </w:t>
      </w:r>
    </w:p>
    <w:p w:rsidR="00620C36" w:rsidRPr="008C0713" w:rsidRDefault="00620C36" w:rsidP="00620C36">
      <w:pPr>
        <w:spacing w:after="0" w:line="480" w:lineRule="auto"/>
        <w:rPr>
          <w:sz w:val="24"/>
          <w:szCs w:val="24"/>
        </w:rPr>
      </w:pPr>
    </w:p>
    <w:p w:rsidR="00620C36" w:rsidRPr="00D034BA" w:rsidRDefault="00620C36" w:rsidP="00620C36">
      <w:pPr>
        <w:spacing w:after="0" w:line="480" w:lineRule="auto"/>
      </w:pPr>
      <w:r w:rsidRPr="008C0713">
        <w:rPr>
          <w:b/>
          <w:sz w:val="24"/>
          <w:szCs w:val="24"/>
        </w:rPr>
        <w:t xml:space="preserve">Suppl. Table 4: </w:t>
      </w:r>
      <w:r w:rsidRPr="008C0713">
        <w:rPr>
          <w:sz w:val="24"/>
          <w:szCs w:val="24"/>
        </w:rPr>
        <w:t xml:space="preserve">Molecular data of the insertion site in the </w:t>
      </w:r>
      <w:r w:rsidRPr="008C0713">
        <w:rPr>
          <w:i/>
          <w:sz w:val="24"/>
          <w:szCs w:val="24"/>
        </w:rPr>
        <w:t>NK7.1</w:t>
      </w:r>
      <w:r w:rsidRPr="008C0713">
        <w:rPr>
          <w:sz w:val="24"/>
          <w:szCs w:val="24"/>
        </w:rPr>
        <w:t>/</w:t>
      </w:r>
      <w:r w:rsidRPr="008C0713">
        <w:rPr>
          <w:i/>
          <w:sz w:val="24"/>
          <w:szCs w:val="24"/>
        </w:rPr>
        <w:t>Heatr2</w:t>
      </w:r>
      <w:r w:rsidRPr="008C0713">
        <w:rPr>
          <w:sz w:val="24"/>
          <w:szCs w:val="24"/>
        </w:rPr>
        <w:t xml:space="preserve"> locus at 3R:</w:t>
      </w:r>
      <w:proofErr w:type="gramStart"/>
      <w:r w:rsidRPr="008C0713">
        <w:rPr>
          <w:sz w:val="24"/>
          <w:szCs w:val="24"/>
        </w:rPr>
        <w:t>14,356,562 88B4-6 on chromosome III</w:t>
      </w:r>
      <w:proofErr w:type="gramEnd"/>
      <w:r w:rsidRPr="008C0713">
        <w:rPr>
          <w:sz w:val="24"/>
          <w:szCs w:val="24"/>
        </w:rPr>
        <w:t>. Worksheets show (1) name and sequences of primer used to amplify genomic DNA from StanEx</w:t>
      </w:r>
      <w:r w:rsidRPr="008C0713">
        <w:rPr>
          <w:sz w:val="24"/>
          <w:szCs w:val="24"/>
          <w:vertAlign w:val="superscript"/>
        </w:rPr>
        <w:t>1</w:t>
      </w:r>
      <w:r w:rsidRPr="008C0713">
        <w:rPr>
          <w:sz w:val="24"/>
          <w:szCs w:val="24"/>
        </w:rPr>
        <w:t xml:space="preserve"> background, (2) genomic sequence according to the reference sequence in Flybase (Hoskins et al., 2015), (3) genomic sequence of StanEx</w:t>
      </w:r>
      <w:r w:rsidRPr="008C0713">
        <w:rPr>
          <w:sz w:val="24"/>
          <w:szCs w:val="24"/>
          <w:vertAlign w:val="superscript"/>
        </w:rPr>
        <w:t>1</w:t>
      </w:r>
      <w:r w:rsidRPr="008C0713">
        <w:rPr>
          <w:sz w:val="24"/>
          <w:szCs w:val="24"/>
        </w:rPr>
        <w:t xml:space="preserve"> background, (4) KP e</w:t>
      </w:r>
      <w:r>
        <w:rPr>
          <w:sz w:val="24"/>
          <w:szCs w:val="24"/>
        </w:rPr>
        <w:t xml:space="preserve">lement sequences present in </w:t>
      </w:r>
      <w:proofErr w:type="spellStart"/>
      <w:r>
        <w:rPr>
          <w:sz w:val="24"/>
          <w:szCs w:val="24"/>
        </w:rPr>
        <w:t>GenB</w:t>
      </w:r>
      <w:r w:rsidRPr="008C0713">
        <w:rPr>
          <w:sz w:val="24"/>
          <w:szCs w:val="24"/>
        </w:rPr>
        <w:t>ank</w:t>
      </w:r>
      <w:proofErr w:type="spellEnd"/>
      <w:r w:rsidRPr="008C0713">
        <w:rPr>
          <w:sz w:val="24"/>
          <w:szCs w:val="24"/>
        </w:rPr>
        <w:t xml:space="preserve">, (5) KP element sequence of the locus </w:t>
      </w:r>
      <w:r w:rsidRPr="008C0713">
        <w:rPr>
          <w:i/>
          <w:sz w:val="24"/>
          <w:szCs w:val="24"/>
        </w:rPr>
        <w:t>NK7.1</w:t>
      </w:r>
      <w:r w:rsidRPr="008C0713">
        <w:rPr>
          <w:sz w:val="24"/>
          <w:szCs w:val="24"/>
        </w:rPr>
        <w:t>/</w:t>
      </w:r>
      <w:r w:rsidRPr="008C0713">
        <w:rPr>
          <w:i/>
          <w:sz w:val="24"/>
          <w:szCs w:val="24"/>
        </w:rPr>
        <w:t>Heatr2</w:t>
      </w:r>
      <w:r w:rsidRPr="008C0713">
        <w:rPr>
          <w:sz w:val="24"/>
          <w:szCs w:val="24"/>
        </w:rPr>
        <w:t xml:space="preserve"> locus at 3R:14,356,562 88B4-6, including genomic sequence 5’ (black) and 3’ (blue) to KP element, 8bp direct repeat (red) Exon (light/dark brown, grey)/Intron (black) structure of KP repressor encoded by KP element, KP repressor cDNA, amino-acid sequence of KP repressor protein translated from cDNA </w:t>
      </w:r>
      <w:r w:rsidRPr="008C0713">
        <w:rPr>
          <w:i/>
          <w:sz w:val="24"/>
          <w:szCs w:val="24"/>
        </w:rPr>
        <w:t>in silico</w:t>
      </w:r>
      <w:r w:rsidRPr="008C0713">
        <w:rPr>
          <w:sz w:val="24"/>
          <w:szCs w:val="24"/>
        </w:rPr>
        <w:t xml:space="preserve">, </w:t>
      </w:r>
      <w:proofErr w:type="spellStart"/>
      <w:r w:rsidRPr="008C0713">
        <w:rPr>
          <w:sz w:val="24"/>
          <w:szCs w:val="24"/>
        </w:rPr>
        <w:t>GenBank</w:t>
      </w:r>
      <w:proofErr w:type="spellEnd"/>
      <w:r w:rsidRPr="008C0713">
        <w:rPr>
          <w:sz w:val="24"/>
          <w:szCs w:val="24"/>
        </w:rPr>
        <w:t xml:space="preserve"> accession number MK510925 (6) Sequence data of SE enhancer trap lines inserted in 88B4-6, 3R:14,356,562 (</w:t>
      </w:r>
      <w:r w:rsidRPr="008C0713">
        <w:rPr>
          <w:b/>
          <w:sz w:val="24"/>
          <w:szCs w:val="24"/>
        </w:rPr>
        <w:t>Figure 3C)</w:t>
      </w:r>
      <w:r w:rsidRPr="008C0713">
        <w:rPr>
          <w:sz w:val="24"/>
          <w:szCs w:val="24"/>
        </w:rPr>
        <w:t>.</w:t>
      </w:r>
    </w:p>
    <w:p w:rsidR="00015321" w:rsidRDefault="00015321"/>
    <w:sectPr w:rsidR="00015321" w:rsidSect="00015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620C36"/>
    <w:rsid w:val="00015321"/>
    <w:rsid w:val="0062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20C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lkockel</dc:creator>
  <cp:lastModifiedBy>lkockel</cp:lastModifiedBy>
  <cp:revision>1</cp:revision>
  <dcterms:created xsi:type="dcterms:W3CDTF">2019-04-29T23:36:00Z</dcterms:created>
  <dcterms:modified xsi:type="dcterms:W3CDTF">2019-04-29T23:37:00Z</dcterms:modified>
</cp:coreProperties>
</file>