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79"/>
        <w:gridCol w:w="6196"/>
        <w:gridCol w:w="990"/>
        <w:gridCol w:w="985"/>
      </w:tblGrid>
      <w:tr w:rsidR="00CE5DC1" w:rsidRPr="00CE5DC1" w:rsidTr="00F4495C">
        <w:trPr>
          <w:trHeight w:val="300"/>
        </w:trPr>
        <w:tc>
          <w:tcPr>
            <w:tcW w:w="9350" w:type="dxa"/>
            <w:gridSpan w:val="4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Control v. Laser  Time 15</w:t>
            </w:r>
          </w:p>
        </w:tc>
      </w:tr>
      <w:tr w:rsidR="00CE5DC1" w:rsidRPr="00CE5DC1" w:rsidTr="00F4495C">
        <w:trPr>
          <w:trHeight w:val="300"/>
        </w:trPr>
        <w:tc>
          <w:tcPr>
            <w:tcW w:w="1179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6196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Description</w:t>
            </w:r>
          </w:p>
        </w:tc>
        <w:tc>
          <w:tcPr>
            <w:tcW w:w="990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P value</w:t>
            </w:r>
          </w:p>
        </w:tc>
        <w:tc>
          <w:tcPr>
            <w:tcW w:w="985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Log2 Fold Increase</w:t>
            </w:r>
          </w:p>
        </w:tc>
      </w:tr>
      <w:tr w:rsidR="00CE5DC1" w:rsidRPr="00CE5DC1" w:rsidTr="00F4495C">
        <w:trPr>
          <w:trHeight w:val="300"/>
        </w:trPr>
        <w:tc>
          <w:tcPr>
            <w:tcW w:w="1179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LSO1</w:t>
            </w:r>
          </w:p>
        </w:tc>
        <w:tc>
          <w:tcPr>
            <w:tcW w:w="6196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Protein with a potential role in response to iron deprivation; transcription increases during iron deprivation and during treatment with 2-(6-benzyl-2-pyridyl)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quinazoline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(BPQ) and copper; regulated by Aft1p and, to a lesser extent, by Aft2p; originally identified as a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syntenic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homolog of an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Ashbya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gossypii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gene; localizes to nucleus and cytoplasm, and nuclear localization is enhanced under iron-replete conditions</w:t>
            </w:r>
          </w:p>
        </w:tc>
        <w:tc>
          <w:tcPr>
            <w:tcW w:w="990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1.07E-03</w:t>
            </w:r>
          </w:p>
        </w:tc>
        <w:tc>
          <w:tcPr>
            <w:tcW w:w="985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5.5</w:t>
            </w:r>
          </w:p>
        </w:tc>
      </w:tr>
      <w:tr w:rsidR="00CE5DC1" w:rsidRPr="00CE5DC1" w:rsidTr="00F4495C">
        <w:trPr>
          <w:trHeight w:val="300"/>
        </w:trPr>
        <w:tc>
          <w:tcPr>
            <w:tcW w:w="1179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SRX1</w:t>
            </w:r>
          </w:p>
        </w:tc>
        <w:tc>
          <w:tcPr>
            <w:tcW w:w="6196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proofErr w:type="spellStart"/>
            <w:r w:rsidRPr="00CE5DC1">
              <w:rPr>
                <w:rFonts w:ascii="Calibri" w:eastAsia="Calibri" w:hAnsi="Calibri" w:cs="Times New Roman"/>
              </w:rPr>
              <w:t>Sulfiredoxin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>; contributes to oxidative stress resistance by reducing cysteine-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sulfinic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acid groups in the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peroxiredoxin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Tsa1p, which is formed upon exposure to oxidants; conserved in higher eukaryotes; protein abundance increases in response to DNA replication stress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0.0154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5.5</w:t>
            </w:r>
          </w:p>
        </w:tc>
      </w:tr>
      <w:tr w:rsidR="00CE5DC1" w:rsidRPr="00CE5DC1" w:rsidTr="00F4495C">
        <w:trPr>
          <w:trHeight w:val="300"/>
        </w:trPr>
        <w:tc>
          <w:tcPr>
            <w:tcW w:w="1179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HUG</w:t>
            </w:r>
            <w:r w:rsidRPr="00CE5DC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96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Ribonucleotide reductase inhibitor; intrinsically disordered protein that binds to and inhibits Rnr2p; involved in the Mec1p-mediated checkpoint pathway; transcription is induced by genotoxic stress and by activation of the Rad53p pathway; protein abundance increases in response to DNA replication stress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0.00121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4.7</w:t>
            </w:r>
          </w:p>
        </w:tc>
      </w:tr>
      <w:tr w:rsidR="00CE5DC1" w:rsidRPr="00CE5DC1" w:rsidTr="00F4495C">
        <w:trPr>
          <w:trHeight w:val="300"/>
        </w:trPr>
        <w:tc>
          <w:tcPr>
            <w:tcW w:w="1179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HBN1</w:t>
            </w:r>
          </w:p>
        </w:tc>
        <w:tc>
          <w:tcPr>
            <w:tcW w:w="6196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Protein of unknown function; similar to bacterial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nitroreductases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>; green fluorescent protein (GFP)-fusion protein localizes to the cytoplasm and nucleus; protein becomes insoluble upon intracellular iron depletion; protein abundance increases in response to DNA replication stress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0.0179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4.2</w:t>
            </w:r>
          </w:p>
        </w:tc>
      </w:tr>
      <w:tr w:rsidR="00CE5DC1" w:rsidRPr="00CE5DC1" w:rsidTr="00F4495C">
        <w:trPr>
          <w:trHeight w:val="300"/>
        </w:trPr>
        <w:tc>
          <w:tcPr>
            <w:tcW w:w="1179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BTN2</w:t>
            </w:r>
          </w:p>
        </w:tc>
        <w:tc>
          <w:tcPr>
            <w:tcW w:w="6196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v-SNARE binding protein; facilitates specific protein retrieval from a late endosome to the Golgi; modulates arginine uptake, possible role in mediating pH homeostasis between the vacuole and plasma membrane H(+)-ATPase; contributes to prion curing; preferentially expressed after severe ethanol stress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0.0171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4.1</w:t>
            </w:r>
          </w:p>
        </w:tc>
      </w:tr>
      <w:tr w:rsidR="00CE5DC1" w:rsidRPr="00CE5DC1" w:rsidTr="00F4495C">
        <w:trPr>
          <w:trHeight w:val="300"/>
        </w:trPr>
        <w:tc>
          <w:tcPr>
            <w:tcW w:w="1179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YJL144W (ROQ1)</w:t>
            </w:r>
          </w:p>
        </w:tc>
        <w:tc>
          <w:tcPr>
            <w:tcW w:w="6196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proofErr w:type="spellStart"/>
            <w:r w:rsidRPr="00CE5DC1">
              <w:rPr>
                <w:rFonts w:ascii="Calibri" w:eastAsia="Calibri" w:hAnsi="Calibri" w:cs="Times New Roman"/>
              </w:rPr>
              <w:t>Ub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-ligase substrate-specificity factor;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proteolytically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-cleaved form acts as a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pseudosubstrate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, binding and altering the substrate specificity of Ubr1p towards misfolded and native ER membrane and cytosolic proteins, as part of the stress-induced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homeostatically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regulated protein degradation (SHRED) pathway;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hydrophilin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essential during desiccation-rehydration; induced by osmotic stress, starvation and during stationary phase; protein abundance increases in response to DNA replication stress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0.0225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3.7</w:t>
            </w:r>
          </w:p>
        </w:tc>
      </w:tr>
      <w:tr w:rsidR="00CE5DC1" w:rsidRPr="00CE5DC1" w:rsidTr="00F4495C">
        <w:trPr>
          <w:trHeight w:val="300"/>
        </w:trPr>
        <w:tc>
          <w:tcPr>
            <w:tcW w:w="1179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YKL071W</w:t>
            </w:r>
          </w:p>
        </w:tc>
        <w:tc>
          <w:tcPr>
            <w:tcW w:w="6196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NADH-dependent aldehyde reductase; involved in detoxification of furfural; expression is upregulated in cells treated with the aldehydes furfural and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glycolaldehyde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, the mycotoxin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patulin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, and also the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quinone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methide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triterpene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celastrol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>; green fluorescent protein (GFP)-fusion protein localizes to the cytoplasm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0.0385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3.5</w:t>
            </w:r>
          </w:p>
        </w:tc>
      </w:tr>
      <w:tr w:rsidR="00CE5DC1" w:rsidRPr="00CE5DC1" w:rsidTr="00F4495C">
        <w:trPr>
          <w:trHeight w:val="300"/>
        </w:trPr>
        <w:tc>
          <w:tcPr>
            <w:tcW w:w="1179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RNR3</w:t>
            </w:r>
          </w:p>
        </w:tc>
        <w:tc>
          <w:tcPr>
            <w:tcW w:w="6196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Minor isoform of large subunit of ribonucleotide-diphosphate reductase; the RNR complex catalyzes rate-limiting step in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dNTP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synthesis, regulated by DNA replication and DNA damage </w:t>
            </w:r>
            <w:r w:rsidRPr="00CE5DC1">
              <w:rPr>
                <w:rFonts w:ascii="Calibri" w:eastAsia="Calibri" w:hAnsi="Calibri" w:cs="Times New Roman"/>
              </w:rPr>
              <w:lastRenderedPageBreak/>
              <w:t>checkpoint pathways via localization of small subunits; RNR3 has a paralog, RNR1, that arose from the whole genome duplication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lastRenderedPageBreak/>
              <w:t>7.77E-05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3.4</w:t>
            </w:r>
          </w:p>
        </w:tc>
      </w:tr>
      <w:tr w:rsidR="00CE5DC1" w:rsidRPr="00CE5DC1" w:rsidTr="00F4495C">
        <w:trPr>
          <w:trHeight w:val="300"/>
        </w:trPr>
        <w:tc>
          <w:tcPr>
            <w:tcW w:w="1179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lastRenderedPageBreak/>
              <w:t>MET17</w:t>
            </w:r>
          </w:p>
        </w:tc>
        <w:tc>
          <w:tcPr>
            <w:tcW w:w="6196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O-acetyl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homoserine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-O-acetyl serine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sulfhydrylase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>; required for Methionine and cysteine biosynthesis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0.00275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3.4</w:t>
            </w:r>
          </w:p>
        </w:tc>
      </w:tr>
      <w:tr w:rsidR="00CE5DC1" w:rsidRPr="00CE5DC1" w:rsidTr="00F4495C">
        <w:trPr>
          <w:trHeight w:val="300"/>
        </w:trPr>
        <w:tc>
          <w:tcPr>
            <w:tcW w:w="1179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HMX1</w:t>
            </w:r>
          </w:p>
        </w:tc>
        <w:tc>
          <w:tcPr>
            <w:tcW w:w="6196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ER localized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heme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oxygenase; involved in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heme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degradation during iron starvation and in the oxidative stress response; expression is regulated by AFT1 and oxidative stress; relocates to the perinuclear region in the presence of oxidants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t>8.09E-05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3.3</w:t>
            </w:r>
          </w:p>
        </w:tc>
      </w:tr>
    </w:tbl>
    <w:p w:rsidR="00CE5DC1" w:rsidRPr="00CE5DC1" w:rsidRDefault="00CE5DC1" w:rsidP="00CE5D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53"/>
        <w:gridCol w:w="6122"/>
        <w:gridCol w:w="990"/>
        <w:gridCol w:w="985"/>
      </w:tblGrid>
      <w:tr w:rsidR="00CE5DC1" w:rsidRPr="00CE5DC1" w:rsidTr="00F4495C">
        <w:trPr>
          <w:trHeight w:val="300"/>
        </w:trPr>
        <w:tc>
          <w:tcPr>
            <w:tcW w:w="9350" w:type="dxa"/>
            <w:gridSpan w:val="4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Control v. Laser  Time 30</w:t>
            </w:r>
          </w:p>
        </w:tc>
      </w:tr>
      <w:tr w:rsidR="00CE5DC1" w:rsidRPr="00CE5DC1" w:rsidTr="00F4495C">
        <w:trPr>
          <w:trHeight w:val="300"/>
        </w:trPr>
        <w:tc>
          <w:tcPr>
            <w:tcW w:w="1253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6122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Description</w:t>
            </w:r>
          </w:p>
        </w:tc>
        <w:tc>
          <w:tcPr>
            <w:tcW w:w="990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P value</w:t>
            </w:r>
          </w:p>
        </w:tc>
        <w:tc>
          <w:tcPr>
            <w:tcW w:w="985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Log2 Fold Increase</w:t>
            </w:r>
          </w:p>
        </w:tc>
      </w:tr>
      <w:tr w:rsidR="00CE5DC1" w:rsidRPr="00CE5DC1" w:rsidTr="00F4495C">
        <w:trPr>
          <w:trHeight w:val="300"/>
        </w:trPr>
        <w:tc>
          <w:tcPr>
            <w:tcW w:w="1253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LSO1</w:t>
            </w:r>
          </w:p>
        </w:tc>
        <w:tc>
          <w:tcPr>
            <w:tcW w:w="6122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Protein with a potential role in response to iron deprivation; transcription increases during iron deprivation and during treatment with 2-(6-benzyl-2-pyridyl)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quinazoline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(BPQ) and copper; regulated by Aft1p and, to a lesser extent, by Aft2p; originally identified as a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syntenic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homolog of an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Ashbya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gossypii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gene; localizes to nucleus and cytoplasm, and nuclear localization is enhanced under iron-replete conditions</w:t>
            </w:r>
          </w:p>
        </w:tc>
        <w:tc>
          <w:tcPr>
            <w:tcW w:w="990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8.04E-05</w:t>
            </w:r>
          </w:p>
        </w:tc>
        <w:tc>
          <w:tcPr>
            <w:tcW w:w="985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6.2</w:t>
            </w:r>
          </w:p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</w:p>
        </w:tc>
      </w:tr>
      <w:tr w:rsidR="00CE5DC1" w:rsidRPr="00CE5DC1" w:rsidTr="00F4495C">
        <w:trPr>
          <w:trHeight w:val="300"/>
        </w:trPr>
        <w:tc>
          <w:tcPr>
            <w:tcW w:w="1253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HUG1</w:t>
            </w:r>
          </w:p>
        </w:tc>
        <w:tc>
          <w:tcPr>
            <w:tcW w:w="6122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Ribonucleotide reductase inhibitor; intrinsically disordered protein that binds to and inhibits Rnr2p; involved in the Mec1p-mediated checkpoint pathway; transcription is induced by genotoxic stress and by activation of the Rad53p pathway; protein abundance increases in response to DNA replication stress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5.2</w:t>
            </w:r>
          </w:p>
        </w:tc>
      </w:tr>
      <w:tr w:rsidR="00CE5DC1" w:rsidRPr="00CE5DC1" w:rsidTr="00F4495C">
        <w:trPr>
          <w:trHeight w:val="300"/>
        </w:trPr>
        <w:tc>
          <w:tcPr>
            <w:tcW w:w="1253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RNR3</w:t>
            </w:r>
          </w:p>
        </w:tc>
        <w:tc>
          <w:tcPr>
            <w:tcW w:w="6122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Minor isoform of large subunit of ribonucleotide-diphosphate reductase; the RNR complex catalyzes rate-limiting step in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dNTP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synthesis, regulated by DNA replication and DNA damage checkpoint pathways via localization of small subunits; RNR3 has a paralog, RNR1, that arose from the whole genome duplication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3.8</w:t>
            </w:r>
          </w:p>
        </w:tc>
      </w:tr>
      <w:tr w:rsidR="00CE5DC1" w:rsidRPr="00CE5DC1" w:rsidTr="00F4495C">
        <w:trPr>
          <w:trHeight w:val="300"/>
        </w:trPr>
        <w:tc>
          <w:tcPr>
            <w:tcW w:w="1253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t>YJL133C-A</w:t>
            </w:r>
          </w:p>
        </w:tc>
        <w:tc>
          <w:tcPr>
            <w:tcW w:w="6122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Putative protein of unknown function; the authentic, non-tagged protein is detected in highly purified mitochondria in high-throughput studies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3.7</w:t>
            </w:r>
          </w:p>
        </w:tc>
      </w:tr>
      <w:tr w:rsidR="00CE5DC1" w:rsidRPr="00CE5DC1" w:rsidTr="00F4495C">
        <w:trPr>
          <w:trHeight w:val="300"/>
        </w:trPr>
        <w:tc>
          <w:tcPr>
            <w:tcW w:w="1253" w:type="dxa"/>
            <w:noWrap/>
          </w:tcPr>
          <w:p w:rsidR="00CE5DC1" w:rsidRPr="00CE5DC1" w:rsidRDefault="00CE5DC1" w:rsidP="00CE5DC1">
            <w:pPr>
              <w:rPr>
                <w:rFonts w:ascii="Calibri" w:eastAsia="Times New Roman" w:hAnsi="Calibri" w:cs="Calibri"/>
                <w:color w:val="000000"/>
              </w:rPr>
            </w:pPr>
            <w:r w:rsidRPr="00CE5DC1">
              <w:rPr>
                <w:rFonts w:ascii="Calibri" w:eastAsia="Times New Roman" w:hAnsi="Calibri" w:cs="Calibri"/>
                <w:color w:val="000000"/>
              </w:rPr>
              <w:t>HMX1</w:t>
            </w:r>
          </w:p>
        </w:tc>
        <w:tc>
          <w:tcPr>
            <w:tcW w:w="6122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ER localized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heme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oxygenase; involved in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heme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degradation during iron starvation and in the oxidative stress response; expression is regulated by AFT1 and oxidative stress; relocates to the perinuclear region in the presence of oxidants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3.5</w:t>
            </w:r>
          </w:p>
        </w:tc>
      </w:tr>
      <w:tr w:rsidR="00CE5DC1" w:rsidRPr="00CE5DC1" w:rsidTr="00F4495C">
        <w:trPr>
          <w:trHeight w:val="300"/>
        </w:trPr>
        <w:tc>
          <w:tcPr>
            <w:tcW w:w="1253" w:type="dxa"/>
            <w:noWrap/>
          </w:tcPr>
          <w:p w:rsidR="00CE5DC1" w:rsidRPr="00CE5DC1" w:rsidRDefault="00CE5DC1" w:rsidP="00CE5DC1">
            <w:pPr>
              <w:rPr>
                <w:rFonts w:ascii="Calibri" w:eastAsia="Times New Roman" w:hAnsi="Calibri" w:cs="Calibri"/>
                <w:color w:val="000000"/>
              </w:rPr>
            </w:pPr>
            <w:r w:rsidRPr="00CE5DC1">
              <w:rPr>
                <w:rFonts w:ascii="Calibri" w:eastAsia="Times New Roman" w:hAnsi="Calibri" w:cs="Calibri"/>
                <w:color w:val="000000"/>
              </w:rPr>
              <w:t>FIT2</w:t>
            </w:r>
          </w:p>
        </w:tc>
        <w:tc>
          <w:tcPr>
            <w:tcW w:w="6122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proofErr w:type="spellStart"/>
            <w:r w:rsidRPr="00CE5DC1">
              <w:rPr>
                <w:rFonts w:ascii="Calibri" w:eastAsia="Calibri" w:hAnsi="Calibri" w:cs="Times New Roman"/>
              </w:rPr>
              <w:t>Mannoprotein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that is incorporated into the cell wall; incorporated via a glycosylphosphatidylinositol (GPI) anchor; involved in the retention of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siderophore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>-iron in the cell wall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3.4</w:t>
            </w:r>
          </w:p>
        </w:tc>
      </w:tr>
      <w:tr w:rsidR="00CE5DC1" w:rsidRPr="00CE5DC1" w:rsidTr="00F4495C">
        <w:trPr>
          <w:trHeight w:val="300"/>
        </w:trPr>
        <w:tc>
          <w:tcPr>
            <w:tcW w:w="1253" w:type="dxa"/>
            <w:noWrap/>
          </w:tcPr>
          <w:p w:rsidR="00CE5DC1" w:rsidRPr="00CE5DC1" w:rsidRDefault="00CE5DC1" w:rsidP="00CE5DC1">
            <w:pPr>
              <w:rPr>
                <w:rFonts w:ascii="Calibri" w:eastAsia="Times New Roman" w:hAnsi="Calibri" w:cs="Calibri"/>
                <w:color w:val="000000"/>
              </w:rPr>
            </w:pPr>
            <w:r w:rsidRPr="00CE5DC1">
              <w:rPr>
                <w:rFonts w:ascii="Calibri" w:eastAsia="Times New Roman" w:hAnsi="Calibri" w:cs="Calibri"/>
                <w:color w:val="000000"/>
              </w:rPr>
              <w:t>SPS100</w:t>
            </w:r>
          </w:p>
        </w:tc>
        <w:tc>
          <w:tcPr>
            <w:tcW w:w="6122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Protein required for spore wall maturation; expressed during sporulation; may be a component of the spore wall; expression also induced in cells treated with the mycotoxin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patulin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>; SPS100 has a paralog, YGP1, that arose from the whole genome duplication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3.4</w:t>
            </w:r>
          </w:p>
        </w:tc>
      </w:tr>
      <w:tr w:rsidR="00CE5DC1" w:rsidRPr="00CE5DC1" w:rsidTr="00F4495C">
        <w:trPr>
          <w:trHeight w:val="300"/>
        </w:trPr>
        <w:tc>
          <w:tcPr>
            <w:tcW w:w="1253" w:type="dxa"/>
            <w:noWrap/>
          </w:tcPr>
          <w:p w:rsidR="00CE5DC1" w:rsidRPr="00CE5DC1" w:rsidRDefault="00CE5DC1" w:rsidP="00CE5DC1">
            <w:pPr>
              <w:rPr>
                <w:rFonts w:ascii="Calibri" w:eastAsia="Times New Roman" w:hAnsi="Calibri" w:cs="Calibri"/>
                <w:color w:val="000000"/>
              </w:rPr>
            </w:pPr>
            <w:r w:rsidRPr="00CE5DC1">
              <w:rPr>
                <w:rFonts w:ascii="Calibri" w:eastAsia="Times New Roman" w:hAnsi="Calibri" w:cs="Calibri"/>
                <w:color w:val="000000"/>
              </w:rPr>
              <w:t>TIS11</w:t>
            </w:r>
          </w:p>
        </w:tc>
        <w:tc>
          <w:tcPr>
            <w:tcW w:w="6122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mRNA-binding protein expressed during iron starvation; binds to a sequence element in the 3'-untranslated regions of specific mRNAs to mediate their degradation; involved in iron homeostasis; protein increases in abundance and relative distribution to the nucleus increases upon DNA replication stress; TIS11 has a paralog, CTH1, that arose from the whole genome duplication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3.3</w:t>
            </w:r>
          </w:p>
        </w:tc>
      </w:tr>
      <w:tr w:rsidR="00CE5DC1" w:rsidRPr="00CE5DC1" w:rsidTr="00F4495C">
        <w:trPr>
          <w:trHeight w:val="300"/>
        </w:trPr>
        <w:tc>
          <w:tcPr>
            <w:tcW w:w="1253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HBN1</w:t>
            </w:r>
          </w:p>
        </w:tc>
        <w:tc>
          <w:tcPr>
            <w:tcW w:w="6122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Protein of unknown function; similar to bacterial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nitroreductases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>; green fluorescent protein (GFP)-fusion protein localizes to the cytoplasm and nucleus; protein becomes insoluble upon intracellular iron depletion; protein abundance increases in response to DNA replication stress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2.9</w:t>
            </w:r>
          </w:p>
        </w:tc>
      </w:tr>
      <w:tr w:rsidR="00CE5DC1" w:rsidRPr="00CE5DC1" w:rsidTr="00F4495C">
        <w:trPr>
          <w:trHeight w:val="300"/>
        </w:trPr>
        <w:tc>
          <w:tcPr>
            <w:tcW w:w="1253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HSP82</w:t>
            </w:r>
          </w:p>
        </w:tc>
        <w:tc>
          <w:tcPr>
            <w:tcW w:w="6122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Hsp90 chaperone; redundant in function with Hsc82p; required for pheromone signaling, negative regulation of Hsf1p; docks with Tom70p for mitochondrial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preprotein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delivery; promotes telomerase DNA binding, nucleotide addition; protein abundance increases in response to DNA replication stress; contains two acid-rich unstructured regions that promote solubility of chaperone-substrate complexes; HSP82 has a paralog, HSC82, that arose from the whole genome duplication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2.9</w:t>
            </w:r>
          </w:p>
        </w:tc>
      </w:tr>
    </w:tbl>
    <w:p w:rsidR="00CE5DC1" w:rsidRPr="00CE5DC1" w:rsidRDefault="00CE5DC1" w:rsidP="00CE5D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8"/>
        <w:gridCol w:w="6076"/>
        <w:gridCol w:w="1047"/>
        <w:gridCol w:w="979"/>
      </w:tblGrid>
      <w:tr w:rsidR="00CE5DC1" w:rsidRPr="00CE5DC1" w:rsidTr="00F4495C">
        <w:trPr>
          <w:trHeight w:val="300"/>
        </w:trPr>
        <w:tc>
          <w:tcPr>
            <w:tcW w:w="9350" w:type="dxa"/>
            <w:gridSpan w:val="4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Control v. Laser  Time 60</w:t>
            </w:r>
          </w:p>
        </w:tc>
      </w:tr>
      <w:tr w:rsidR="00CE5DC1" w:rsidRPr="00CE5DC1" w:rsidTr="00F4495C">
        <w:trPr>
          <w:trHeight w:val="300"/>
        </w:trPr>
        <w:tc>
          <w:tcPr>
            <w:tcW w:w="1255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6120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Description</w:t>
            </w:r>
          </w:p>
        </w:tc>
        <w:tc>
          <w:tcPr>
            <w:tcW w:w="990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P value</w:t>
            </w:r>
          </w:p>
        </w:tc>
        <w:tc>
          <w:tcPr>
            <w:tcW w:w="985" w:type="dxa"/>
            <w:noWrap/>
            <w:hideMark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Log2 Fold Increase</w:t>
            </w:r>
          </w:p>
        </w:tc>
      </w:tr>
      <w:tr w:rsidR="00CE5DC1" w:rsidRPr="00CE5DC1" w:rsidTr="00F4495C">
        <w:trPr>
          <w:trHeight w:val="300"/>
        </w:trPr>
        <w:tc>
          <w:tcPr>
            <w:tcW w:w="1255" w:type="dxa"/>
            <w:noWrap/>
          </w:tcPr>
          <w:p w:rsidR="00CE5DC1" w:rsidRPr="00CE5DC1" w:rsidRDefault="00CE5DC1" w:rsidP="00CE5DC1">
            <w:pPr>
              <w:rPr>
                <w:rFonts w:ascii="Calibri" w:eastAsia="Times New Roman" w:hAnsi="Calibri" w:cs="Calibri"/>
                <w:color w:val="000000"/>
              </w:rPr>
            </w:pPr>
            <w:r w:rsidRPr="00CE5DC1">
              <w:rPr>
                <w:rFonts w:ascii="Calibri" w:eastAsia="Times New Roman" w:hAnsi="Calibri" w:cs="Calibri"/>
                <w:color w:val="000000"/>
              </w:rPr>
              <w:t>HUG1</w:t>
            </w:r>
          </w:p>
        </w:tc>
        <w:tc>
          <w:tcPr>
            <w:tcW w:w="612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Ribonucleotide reductase inhibitor; intrinsically disordered protein that binds to and inhibits Rnr2p; involved in the Mec1p-mediated checkpoint pathway; transcription is induced by genotoxic stress and by activation of the Rad53p pathway; protein abundance increases in response to DNA replication stress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t>0.0321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5.6</w:t>
            </w:r>
          </w:p>
        </w:tc>
      </w:tr>
      <w:tr w:rsidR="00CE5DC1" w:rsidRPr="00CE5DC1" w:rsidTr="00F4495C">
        <w:trPr>
          <w:trHeight w:val="300"/>
        </w:trPr>
        <w:tc>
          <w:tcPr>
            <w:tcW w:w="1255" w:type="dxa"/>
            <w:noWrap/>
          </w:tcPr>
          <w:p w:rsidR="00CE5DC1" w:rsidRPr="00CE5DC1" w:rsidRDefault="00CE5DC1" w:rsidP="00CE5DC1">
            <w:pPr>
              <w:rPr>
                <w:rFonts w:ascii="Calibri" w:eastAsia="Times New Roman" w:hAnsi="Calibri" w:cs="Calibri"/>
                <w:color w:val="000000"/>
              </w:rPr>
            </w:pPr>
            <w:r w:rsidRPr="00CE5DC1">
              <w:rPr>
                <w:rFonts w:ascii="Calibri" w:eastAsia="Times New Roman" w:hAnsi="Calibri" w:cs="Calibri"/>
                <w:color w:val="000000"/>
              </w:rPr>
              <w:t>YJL133C-A</w:t>
            </w:r>
          </w:p>
        </w:tc>
        <w:tc>
          <w:tcPr>
            <w:tcW w:w="612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Putative protein of unknown function; the authentic, non-tagged protein is detected in highly purified mitochondria in high-throughput studies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t>0.00103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3.5</w:t>
            </w:r>
          </w:p>
        </w:tc>
      </w:tr>
      <w:tr w:rsidR="00CE5DC1" w:rsidRPr="00CE5DC1" w:rsidTr="00F4495C">
        <w:trPr>
          <w:trHeight w:val="300"/>
        </w:trPr>
        <w:tc>
          <w:tcPr>
            <w:tcW w:w="1255" w:type="dxa"/>
            <w:noWrap/>
          </w:tcPr>
          <w:p w:rsidR="00CE5DC1" w:rsidRPr="00CE5DC1" w:rsidRDefault="00CE5DC1" w:rsidP="00CE5DC1">
            <w:pPr>
              <w:rPr>
                <w:rFonts w:ascii="Calibri" w:eastAsia="Times New Roman" w:hAnsi="Calibri" w:cs="Calibri"/>
                <w:color w:val="000000"/>
              </w:rPr>
            </w:pPr>
            <w:r w:rsidRPr="00CE5DC1">
              <w:rPr>
                <w:rFonts w:ascii="Calibri" w:eastAsia="Times New Roman" w:hAnsi="Calibri" w:cs="Calibri"/>
                <w:color w:val="000000"/>
              </w:rPr>
              <w:t>RNR3</w:t>
            </w:r>
          </w:p>
        </w:tc>
        <w:tc>
          <w:tcPr>
            <w:tcW w:w="612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Minor isoform of large subunit of ribonucleotide-diphosphate reductase; the RNR complex catalyzes rate-limiting step in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dNTP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synthesis, regulated by DNA replication and DNA damage checkpoint pathways via localization of small subunits; RNR3 has a paralog, RNR1, that arose from the whole genome duplication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t>0.0348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2.9</w:t>
            </w:r>
          </w:p>
        </w:tc>
      </w:tr>
      <w:tr w:rsidR="00CE5DC1" w:rsidRPr="00CE5DC1" w:rsidTr="00F4495C">
        <w:trPr>
          <w:trHeight w:val="300"/>
        </w:trPr>
        <w:tc>
          <w:tcPr>
            <w:tcW w:w="1255" w:type="dxa"/>
            <w:noWrap/>
          </w:tcPr>
          <w:p w:rsidR="00CE5DC1" w:rsidRPr="00CE5DC1" w:rsidRDefault="00CE5DC1" w:rsidP="00CE5DC1">
            <w:pPr>
              <w:rPr>
                <w:rFonts w:ascii="Calibri" w:eastAsia="Times New Roman" w:hAnsi="Calibri" w:cs="Calibri"/>
                <w:color w:val="000000"/>
              </w:rPr>
            </w:pPr>
            <w:r w:rsidRPr="00CE5DC1">
              <w:rPr>
                <w:rFonts w:ascii="Calibri" w:eastAsia="Times New Roman" w:hAnsi="Calibri" w:cs="Calibri"/>
                <w:color w:val="000000"/>
              </w:rPr>
              <w:t>YPR015C</w:t>
            </w:r>
          </w:p>
        </w:tc>
        <w:tc>
          <w:tcPr>
            <w:tcW w:w="612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Putative zinc finger transcription factor; binds DNA in sequence-specific manner; overexpression causes a cell cycle delay or arrest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t>0.0209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2.5</w:t>
            </w:r>
          </w:p>
        </w:tc>
      </w:tr>
      <w:tr w:rsidR="00CE5DC1" w:rsidRPr="00CE5DC1" w:rsidTr="00F4495C">
        <w:trPr>
          <w:trHeight w:val="300"/>
        </w:trPr>
        <w:tc>
          <w:tcPr>
            <w:tcW w:w="125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FIT2</w:t>
            </w:r>
          </w:p>
        </w:tc>
        <w:tc>
          <w:tcPr>
            <w:tcW w:w="612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proofErr w:type="spellStart"/>
            <w:r w:rsidRPr="00CE5DC1">
              <w:rPr>
                <w:rFonts w:ascii="Calibri" w:eastAsia="Calibri" w:hAnsi="Calibri" w:cs="Times New Roman"/>
              </w:rPr>
              <w:t>Mannoprotein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that is incorporated into the cell wall; incorporated via a glycosylphosphatidylinositol (GPI) anchor; involved in the retention of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siderophore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>-iron in the cell wall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t>0.0105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2.4</w:t>
            </w:r>
          </w:p>
        </w:tc>
      </w:tr>
      <w:tr w:rsidR="00CE5DC1" w:rsidRPr="00CE5DC1" w:rsidTr="00F4495C">
        <w:trPr>
          <w:trHeight w:val="300"/>
        </w:trPr>
        <w:tc>
          <w:tcPr>
            <w:tcW w:w="125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SPO24</w:t>
            </w:r>
          </w:p>
        </w:tc>
        <w:tc>
          <w:tcPr>
            <w:tcW w:w="612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Small (67 amino acids) protein involved in sporulation; localizes to the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prospore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membrane; phosphorylated during meiosis; a longer, 5'-extended mRNA is also transcribed beginning in mid-meiosis, regulated by two MSEs (middle sporulation elements), and includes an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uORF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of 15 codons in its 5'-UTR; evidence transcription is regulated by Pdr1p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t>0.00982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2.2</w:t>
            </w:r>
          </w:p>
        </w:tc>
      </w:tr>
      <w:tr w:rsidR="00CE5DC1" w:rsidRPr="00CE5DC1" w:rsidTr="00F4495C">
        <w:trPr>
          <w:trHeight w:val="300"/>
        </w:trPr>
        <w:tc>
          <w:tcPr>
            <w:tcW w:w="125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ANS1</w:t>
            </w:r>
          </w:p>
        </w:tc>
        <w:tc>
          <w:tcPr>
            <w:tcW w:w="612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Putative GPI protein; SWAT-GFP and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mCherry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fusion proteins localize to the vacuole; transcription dependent upon Azf1p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t>0.000685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1.6</w:t>
            </w:r>
          </w:p>
        </w:tc>
      </w:tr>
      <w:tr w:rsidR="00CE5DC1" w:rsidRPr="00CE5DC1" w:rsidTr="00F4495C">
        <w:trPr>
          <w:trHeight w:val="300"/>
        </w:trPr>
        <w:tc>
          <w:tcPr>
            <w:tcW w:w="1255" w:type="dxa"/>
            <w:noWrap/>
          </w:tcPr>
          <w:p w:rsidR="00CE5DC1" w:rsidRPr="00CE5DC1" w:rsidRDefault="00CE5DC1" w:rsidP="00CE5DC1">
            <w:pPr>
              <w:rPr>
                <w:rFonts w:ascii="Calibri" w:eastAsia="Times New Roman" w:hAnsi="Calibri" w:cs="Calibri"/>
                <w:color w:val="000000"/>
              </w:rPr>
            </w:pPr>
            <w:r w:rsidRPr="00CE5DC1">
              <w:rPr>
                <w:rFonts w:ascii="Calibri" w:eastAsia="Times New Roman" w:hAnsi="Calibri" w:cs="Calibri"/>
                <w:color w:val="000000"/>
              </w:rPr>
              <w:t>YLR053C</w:t>
            </w:r>
          </w:p>
        </w:tc>
        <w:tc>
          <w:tcPr>
            <w:tcW w:w="612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Putative protein of unknown function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t>1.65E-06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1.2</w:t>
            </w:r>
          </w:p>
        </w:tc>
      </w:tr>
      <w:tr w:rsidR="00CE5DC1" w:rsidRPr="00CE5DC1" w:rsidTr="00F4495C">
        <w:trPr>
          <w:trHeight w:val="300"/>
        </w:trPr>
        <w:tc>
          <w:tcPr>
            <w:tcW w:w="1255" w:type="dxa"/>
            <w:noWrap/>
          </w:tcPr>
          <w:p w:rsidR="00CE5DC1" w:rsidRPr="00CE5DC1" w:rsidRDefault="00CE5DC1" w:rsidP="00CE5DC1">
            <w:pPr>
              <w:rPr>
                <w:rFonts w:ascii="Calibri" w:eastAsia="Times New Roman" w:hAnsi="Calibri" w:cs="Calibri"/>
                <w:color w:val="000000"/>
              </w:rPr>
            </w:pPr>
            <w:r w:rsidRPr="00CE5DC1">
              <w:rPr>
                <w:rFonts w:ascii="Calibri" w:eastAsia="Times New Roman" w:hAnsi="Calibri" w:cs="Calibri"/>
                <w:color w:val="000000"/>
              </w:rPr>
              <w:t>CIS1</w:t>
            </w:r>
          </w:p>
        </w:tc>
        <w:tc>
          <w:tcPr>
            <w:tcW w:w="612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Protein of unknown function found in mitochondria; expression is regulated by transcription factors involved in pleiotropic drug resistance, Pdr1p and Yrr1p; not an essential gene; YLR346C has a paralog, YGR035C, that arose from the whole genome duplication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t>0.0272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1.2</w:t>
            </w:r>
          </w:p>
        </w:tc>
      </w:tr>
      <w:tr w:rsidR="00CE5DC1" w:rsidRPr="00CE5DC1" w:rsidTr="00F4495C">
        <w:trPr>
          <w:trHeight w:val="300"/>
        </w:trPr>
        <w:tc>
          <w:tcPr>
            <w:tcW w:w="1255" w:type="dxa"/>
            <w:noWrap/>
          </w:tcPr>
          <w:p w:rsidR="00CE5DC1" w:rsidRPr="00CE5DC1" w:rsidRDefault="00CE5DC1" w:rsidP="00CE5DC1">
            <w:pPr>
              <w:rPr>
                <w:rFonts w:ascii="Calibri" w:eastAsia="Times New Roman" w:hAnsi="Calibri" w:cs="Calibri"/>
                <w:color w:val="000000"/>
              </w:rPr>
            </w:pPr>
            <w:r w:rsidRPr="00CE5DC1">
              <w:rPr>
                <w:rFonts w:ascii="Calibri" w:eastAsia="Times New Roman" w:hAnsi="Calibri" w:cs="Calibri"/>
                <w:color w:val="000000"/>
              </w:rPr>
              <w:t>THI12</w:t>
            </w:r>
          </w:p>
        </w:tc>
        <w:tc>
          <w:tcPr>
            <w:tcW w:w="612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 xml:space="preserve">Protein involved in synthesis of the thiamine precursor HMP; member of a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subtelomeric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gene family including THI5, THI11, THI12, and THI13; </w:t>
            </w:r>
            <w:proofErr w:type="spellStart"/>
            <w:r w:rsidRPr="00CE5DC1">
              <w:rPr>
                <w:rFonts w:ascii="Calibri" w:eastAsia="Calibri" w:hAnsi="Calibri" w:cs="Times New Roman"/>
              </w:rPr>
              <w:t>hydroxymethylpyrimidine</w:t>
            </w:r>
            <w:proofErr w:type="spellEnd"/>
            <w:r w:rsidRPr="00CE5DC1">
              <w:rPr>
                <w:rFonts w:ascii="Calibri" w:eastAsia="Calibri" w:hAnsi="Calibri" w:cs="Times New Roman"/>
              </w:rPr>
              <w:t xml:space="preserve"> is also known as HMP</w:t>
            </w:r>
          </w:p>
        </w:tc>
        <w:tc>
          <w:tcPr>
            <w:tcW w:w="990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Calibri"/>
                <w:color w:val="000000"/>
              </w:rPr>
            </w:pPr>
            <w:r w:rsidRPr="00CE5DC1">
              <w:rPr>
                <w:rFonts w:ascii="Calibri" w:eastAsia="Calibri" w:hAnsi="Calibri" w:cs="Calibri"/>
                <w:color w:val="000000"/>
              </w:rPr>
              <w:t>0.00576</w:t>
            </w:r>
          </w:p>
        </w:tc>
        <w:tc>
          <w:tcPr>
            <w:tcW w:w="985" w:type="dxa"/>
            <w:noWrap/>
          </w:tcPr>
          <w:p w:rsidR="00CE5DC1" w:rsidRPr="00CE5DC1" w:rsidRDefault="00CE5DC1" w:rsidP="00CE5DC1">
            <w:pPr>
              <w:rPr>
                <w:rFonts w:ascii="Calibri" w:eastAsia="Calibri" w:hAnsi="Calibri" w:cs="Times New Roman"/>
              </w:rPr>
            </w:pPr>
            <w:r w:rsidRPr="00CE5DC1">
              <w:rPr>
                <w:rFonts w:ascii="Calibri" w:eastAsia="Calibri" w:hAnsi="Calibri" w:cs="Times New Roman"/>
              </w:rPr>
              <w:t>1.2</w:t>
            </w:r>
          </w:p>
        </w:tc>
      </w:tr>
    </w:tbl>
    <w:p w:rsidR="00CE5DC1" w:rsidRPr="00CE5DC1" w:rsidRDefault="00CE5DC1" w:rsidP="00CE5D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5DC1" w:rsidRPr="00CE5DC1" w:rsidRDefault="00CE5DC1" w:rsidP="00CE5D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5DC1" w:rsidRPr="00CE5DC1" w:rsidRDefault="00CE5DC1" w:rsidP="00CE5D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1550">
        <w:rPr>
          <w:rFonts w:ascii="Times New Roman" w:eastAsia="Calibri" w:hAnsi="Times New Roman" w:cs="Times New Roman"/>
          <w:b/>
          <w:sz w:val="24"/>
          <w:szCs w:val="24"/>
        </w:rPr>
        <w:t>Table S3</w:t>
      </w:r>
      <w:r w:rsidRPr="00CE5DC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Full annotation of genes from Table 1. </w:t>
      </w:r>
      <w:r w:rsidRPr="00CE5DC1">
        <w:rPr>
          <w:rFonts w:ascii="Times New Roman" w:eastAsia="Calibri" w:hAnsi="Times New Roman" w:cs="Times New Roman"/>
          <w:sz w:val="24"/>
          <w:szCs w:val="24"/>
        </w:rPr>
        <w:t xml:space="preserve">Transcripts exhibiting highest levels of laser-dependent increase in differential expression at T15, T30 and T60.  To focus on changes specific </w:t>
      </w:r>
      <w:r w:rsidR="00400EAA">
        <w:rPr>
          <w:rFonts w:ascii="Times New Roman" w:eastAsia="Calibri" w:hAnsi="Times New Roman" w:cs="Times New Roman"/>
          <w:sz w:val="24"/>
          <w:szCs w:val="24"/>
        </w:rPr>
        <w:t>to laser irradiation, this list</w:t>
      </w:r>
      <w:r w:rsidRPr="00CE5DC1">
        <w:rPr>
          <w:rFonts w:ascii="Times New Roman" w:eastAsia="Calibri" w:hAnsi="Times New Roman" w:cs="Times New Roman"/>
          <w:sz w:val="24"/>
          <w:szCs w:val="24"/>
        </w:rPr>
        <w:t xml:space="preserve"> excludes any ESR genes.  Transcripts encoding </w:t>
      </w:r>
      <w:proofErr w:type="spellStart"/>
      <w:r w:rsidRPr="00CE5DC1">
        <w:rPr>
          <w:rFonts w:ascii="Times New Roman" w:eastAsia="Calibri" w:hAnsi="Times New Roman" w:cs="Times New Roman"/>
          <w:sz w:val="24"/>
          <w:szCs w:val="24"/>
        </w:rPr>
        <w:t>tRNAs</w:t>
      </w:r>
      <w:proofErr w:type="spellEnd"/>
      <w:r w:rsidRPr="00CE5DC1">
        <w:rPr>
          <w:rFonts w:ascii="Times New Roman" w:eastAsia="Calibri" w:hAnsi="Times New Roman" w:cs="Times New Roman"/>
          <w:sz w:val="24"/>
          <w:szCs w:val="24"/>
        </w:rPr>
        <w:t xml:space="preserve"> were also excluded and are summarized in Table </w:t>
      </w:r>
      <w:r w:rsidR="009C4C59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CE5D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589" w:rsidRDefault="00D67589"/>
    <w:sectPr w:rsidR="00D6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C1"/>
    <w:rsid w:val="00400EAA"/>
    <w:rsid w:val="00661550"/>
    <w:rsid w:val="009C4C59"/>
    <w:rsid w:val="00BC7625"/>
    <w:rsid w:val="00CE5DC1"/>
    <w:rsid w:val="00D45DB7"/>
    <w:rsid w:val="00D67589"/>
    <w:rsid w:val="00F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3B68"/>
  <w15:chartTrackingRefBased/>
  <w15:docId w15:val="{04630E45-14AE-48B3-83E9-E136489F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E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Melinda R</dc:creator>
  <cp:keywords/>
  <dc:description/>
  <cp:lastModifiedBy>Becker, Jeffrey M</cp:lastModifiedBy>
  <cp:revision>4</cp:revision>
  <dcterms:created xsi:type="dcterms:W3CDTF">2019-03-22T18:53:00Z</dcterms:created>
  <dcterms:modified xsi:type="dcterms:W3CDTF">2019-04-26T14:08:00Z</dcterms:modified>
</cp:coreProperties>
</file>