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3BB69" w14:textId="1D1364BE" w:rsidR="00E24AFE" w:rsidRPr="00776BAD" w:rsidRDefault="00E50301" w:rsidP="00E24A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SUPPLEMENTAL</w:t>
      </w:r>
      <w:bookmarkStart w:id="0" w:name="_GoBack"/>
      <w:bookmarkEnd w:id="0"/>
      <w:r w:rsidR="00E24AFE" w:rsidRPr="00776BAD">
        <w:rPr>
          <w:rFonts w:ascii="Times New Roman" w:hAnsi="Times New Roman" w:cs="Times New Roman"/>
          <w:sz w:val="28"/>
          <w:szCs w:val="28"/>
        </w:rPr>
        <w:t xml:space="preserve"> INFORMATION</w:t>
      </w:r>
    </w:p>
    <w:p w14:paraId="62BF3974" w14:textId="77777777" w:rsidR="008772CC" w:rsidRDefault="008772CC" w:rsidP="00E24AFE">
      <w:pPr>
        <w:rPr>
          <w:rFonts w:ascii="Times New Roman" w:hAnsi="Times New Roman" w:cs="Times New Roman"/>
        </w:rPr>
      </w:pPr>
    </w:p>
    <w:p w14:paraId="24408D14" w14:textId="77777777" w:rsidR="00E24AFE" w:rsidRPr="00E24AFE" w:rsidRDefault="00E24AFE" w:rsidP="00E24AFE">
      <w:pPr>
        <w:rPr>
          <w:rFonts w:ascii="Times New Roman" w:hAnsi="Times New Roman" w:cs="Times New Roman"/>
        </w:rPr>
      </w:pPr>
    </w:p>
    <w:p w14:paraId="5D0C0C1A" w14:textId="508584C3" w:rsidR="00CE6AE3" w:rsidRDefault="00E24AFE" w:rsidP="00E24AFE">
      <w:pPr>
        <w:rPr>
          <w:rFonts w:ascii="Times New Roman" w:hAnsi="Times New Roman" w:cs="Times New Roman"/>
        </w:rPr>
      </w:pPr>
      <w:r w:rsidRPr="00E24AFE">
        <w:rPr>
          <w:rFonts w:ascii="Times New Roman" w:hAnsi="Times New Roman" w:cs="Times New Roman"/>
          <w:b/>
        </w:rPr>
        <w:t xml:space="preserve">Roth </w:t>
      </w:r>
      <w:r w:rsidRPr="00E24AFE">
        <w:rPr>
          <w:rFonts w:ascii="Times New Roman" w:hAnsi="Times New Roman" w:cs="Times New Roman"/>
          <w:b/>
          <w:i/>
        </w:rPr>
        <w:t>et al</w:t>
      </w:r>
      <w:r w:rsidRPr="00E24AFE">
        <w:rPr>
          <w:rFonts w:ascii="Times New Roman" w:hAnsi="Times New Roman" w:cs="Times New Roman"/>
          <w:b/>
        </w:rPr>
        <w:t>.</w:t>
      </w:r>
      <w:proofErr w:type="gramStart"/>
      <w:r>
        <w:rPr>
          <w:rFonts w:ascii="Times New Roman" w:hAnsi="Times New Roman" w:cs="Times New Roman"/>
        </w:rPr>
        <w:t>,  GENETICS</w:t>
      </w:r>
      <w:proofErr w:type="gramEnd"/>
      <w:r>
        <w:rPr>
          <w:rFonts w:ascii="Times New Roman" w:hAnsi="Times New Roman" w:cs="Times New Roman"/>
        </w:rPr>
        <w:t>/2019/302056</w:t>
      </w:r>
    </w:p>
    <w:p w14:paraId="5B70EEE3" w14:textId="2D430A94" w:rsidR="00E24AFE" w:rsidRPr="00E24AFE" w:rsidRDefault="00E24AFE" w:rsidP="00E24A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Article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 10.1534/genetics.119.302056</w:t>
      </w:r>
    </w:p>
    <w:p w14:paraId="3239300A" w14:textId="77777777" w:rsidR="00CE6AE3" w:rsidRPr="00E24AFE" w:rsidRDefault="00CE6AE3" w:rsidP="00E24AFE">
      <w:pPr>
        <w:rPr>
          <w:rFonts w:ascii="Times New Roman" w:hAnsi="Times New Roman" w:cs="Times New Roman"/>
        </w:rPr>
      </w:pPr>
    </w:p>
    <w:p w14:paraId="56F4CD5E" w14:textId="77777777" w:rsidR="00CE6AE3" w:rsidRDefault="00CE6AE3" w:rsidP="000E05A0">
      <w:pPr>
        <w:jc w:val="center"/>
      </w:pPr>
    </w:p>
    <w:p w14:paraId="4BF0B5F9" w14:textId="77777777" w:rsidR="00E24AFE" w:rsidRDefault="00E24AFE" w:rsidP="000E05A0">
      <w:pPr>
        <w:jc w:val="center"/>
      </w:pPr>
    </w:p>
    <w:p w14:paraId="6C81F449" w14:textId="77777777" w:rsidR="00E24AFE" w:rsidRDefault="00E24AFE" w:rsidP="000E05A0">
      <w:pPr>
        <w:jc w:val="center"/>
      </w:pPr>
    </w:p>
    <w:p w14:paraId="7FF98C27" w14:textId="77777777" w:rsidR="00E24AFE" w:rsidRDefault="00E24AFE" w:rsidP="000E05A0">
      <w:pPr>
        <w:jc w:val="center"/>
      </w:pPr>
    </w:p>
    <w:p w14:paraId="087771E8" w14:textId="77777777" w:rsidR="00733539" w:rsidRDefault="00CE6AE3" w:rsidP="000E05A0">
      <w:pPr>
        <w:jc w:val="center"/>
      </w:pPr>
      <w:r w:rsidRPr="00F016BF">
        <w:rPr>
          <w:noProof/>
        </w:rPr>
        <w:drawing>
          <wp:inline distT="0" distB="0" distL="0" distR="0" wp14:anchorId="62E02B68" wp14:editId="4CEE1EE1">
            <wp:extent cx="5608671" cy="3268038"/>
            <wp:effectExtent l="0" t="0" r="5080" b="8890"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1608" t="4095" r="2386" b="2671"/>
                    <a:stretch/>
                  </pic:blipFill>
                  <pic:spPr>
                    <a:xfrm>
                      <a:off x="0" y="0"/>
                      <a:ext cx="5608671" cy="3268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99431" w14:textId="77777777" w:rsidR="00733539" w:rsidRDefault="00733539" w:rsidP="000E05A0"/>
    <w:p w14:paraId="43D57662" w14:textId="40D8B413" w:rsidR="00102FBE" w:rsidRPr="009B0E8F" w:rsidRDefault="00102FBE" w:rsidP="00102FB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Figure </w:t>
      </w:r>
      <w:proofErr w:type="gramStart"/>
      <w:r>
        <w:rPr>
          <w:rFonts w:ascii="Times New Roman" w:hAnsi="Times New Roman" w:cs="Times New Roman"/>
          <w:b/>
        </w:rPr>
        <w:t xml:space="preserve">S1 </w:t>
      </w:r>
      <w:r w:rsidRPr="00776BAD">
        <w:rPr>
          <w:rFonts w:ascii="Times New Roman" w:hAnsi="Times New Roman" w:cs="Times New Roman"/>
          <w:b/>
        </w:rPr>
        <w:t xml:space="preserve"> </w:t>
      </w:r>
      <w:r w:rsidRPr="00776BAD">
        <w:rPr>
          <w:rFonts w:ascii="Times New Roman" w:hAnsi="Times New Roman" w:cs="Times New Roman"/>
        </w:rPr>
        <w:t>Box</w:t>
      </w:r>
      <w:proofErr w:type="gramEnd"/>
      <w:r>
        <w:rPr>
          <w:rFonts w:ascii="Times New Roman" w:hAnsi="Times New Roman" w:cs="Times New Roman"/>
        </w:rPr>
        <w:t xml:space="preserve"> </w:t>
      </w:r>
      <w:r w:rsidRPr="00776BAD">
        <w:rPr>
          <w:rFonts w:ascii="Times New Roman" w:hAnsi="Times New Roman" w:cs="Times New Roman"/>
        </w:rPr>
        <w:t xml:space="preserve">plot representing the distribution of seed viability in </w:t>
      </w:r>
      <w:r>
        <w:rPr>
          <w:rFonts w:ascii="Times New Roman" w:hAnsi="Times New Roman" w:cs="Times New Roman"/>
        </w:rPr>
        <w:t xml:space="preserve">all </w:t>
      </w:r>
      <w:r w:rsidRPr="00776BAD">
        <w:rPr>
          <w:rFonts w:ascii="Times New Roman" w:hAnsi="Times New Roman" w:cs="Times New Roman"/>
        </w:rPr>
        <w:t>crosses used in</w:t>
      </w:r>
      <w:r>
        <w:rPr>
          <w:rFonts w:ascii="Times New Roman" w:hAnsi="Times New Roman" w:cs="Times New Roman"/>
        </w:rPr>
        <w:t xml:space="preserve"> this study</w:t>
      </w:r>
      <w:r w:rsidRPr="00776BA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Assessment of seed viability was performed visually</w:t>
      </w:r>
      <w:r w:rsidRPr="00776BAD">
        <w:rPr>
          <w:rFonts w:ascii="Times New Roman" w:hAnsi="Times New Roman" w:cs="Times New Roman"/>
        </w:rPr>
        <w:t xml:space="preserve"> at fruit maturity 60 days after pollination (data source: Roth </w:t>
      </w:r>
      <w:r w:rsidRPr="00776BAD">
        <w:rPr>
          <w:rFonts w:ascii="Times New Roman" w:hAnsi="Times New Roman" w:cs="Times New Roman"/>
          <w:i/>
          <w:iCs/>
        </w:rPr>
        <w:t>et al</w:t>
      </w:r>
      <w:r w:rsidRPr="00D71B69">
        <w:rPr>
          <w:rFonts w:ascii="Times New Roman" w:hAnsi="Times New Roman" w:cs="Times New Roman"/>
          <w:iCs/>
        </w:rPr>
        <w:t xml:space="preserve">. </w:t>
      </w:r>
      <w:r w:rsidRPr="00776BAD">
        <w:rPr>
          <w:rFonts w:ascii="Times New Roman" w:hAnsi="Times New Roman" w:cs="Times New Roman"/>
          <w:iCs/>
        </w:rPr>
        <w:t>2018a</w:t>
      </w:r>
      <w:r w:rsidRPr="00776BAD">
        <w:rPr>
          <w:rFonts w:ascii="Times New Roman" w:hAnsi="Times New Roman" w:cs="Times New Roman"/>
        </w:rPr>
        <w:t xml:space="preserve">). </w:t>
      </w:r>
      <w:proofErr w:type="gramStart"/>
      <w:r>
        <w:rPr>
          <w:rFonts w:ascii="Times New Roman" w:hAnsi="Times New Roman" w:cs="Times New Roman"/>
        </w:rPr>
        <w:t>Open boxes</w:t>
      </w:r>
      <w:r w:rsidRPr="00776BAD">
        <w:rPr>
          <w:rFonts w:ascii="Times New Roman" w:hAnsi="Times New Roman" w:cs="Times New Roman"/>
        </w:rPr>
        <w:t>, intraspecific cross</w:t>
      </w:r>
      <w:r>
        <w:rPr>
          <w:rFonts w:ascii="Times New Roman" w:hAnsi="Times New Roman" w:cs="Times New Roman"/>
        </w:rPr>
        <w:t>es</w:t>
      </w:r>
      <w:proofErr w:type="gramEnd"/>
      <w:r w:rsidRPr="00776BAD">
        <w:rPr>
          <w:rFonts w:ascii="Times New Roman" w:hAnsi="Times New Roman" w:cs="Times New Roman"/>
        </w:rPr>
        <w:t>; grey</w:t>
      </w:r>
      <w:r>
        <w:rPr>
          <w:rFonts w:ascii="Times New Roman" w:hAnsi="Times New Roman" w:cs="Times New Roman"/>
        </w:rPr>
        <w:t xml:space="preserve"> boxes</w:t>
      </w:r>
      <w:r w:rsidRPr="00776BA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hybrid</w:t>
      </w:r>
      <w:r w:rsidRPr="00776BAD">
        <w:rPr>
          <w:rFonts w:ascii="Times New Roman" w:hAnsi="Times New Roman" w:cs="Times New Roman"/>
        </w:rPr>
        <w:t xml:space="preserve"> cross</w:t>
      </w:r>
      <w:r>
        <w:rPr>
          <w:rFonts w:ascii="Times New Roman" w:hAnsi="Times New Roman" w:cs="Times New Roman"/>
        </w:rPr>
        <w:t>es</w:t>
      </w:r>
      <w:r w:rsidRPr="00776BAD">
        <w:rPr>
          <w:rFonts w:ascii="Times New Roman" w:hAnsi="Times New Roman" w:cs="Times New Roman"/>
        </w:rPr>
        <w:t xml:space="preserve">. </w:t>
      </w:r>
      <w:proofErr w:type="gramStart"/>
      <w:r w:rsidRPr="00776BAD">
        <w:rPr>
          <w:rFonts w:ascii="Times New Roman" w:hAnsi="Times New Roman" w:cs="Times New Roman"/>
        </w:rPr>
        <w:t xml:space="preserve">A, </w:t>
      </w:r>
      <w:r w:rsidRPr="00776BAD">
        <w:rPr>
          <w:rFonts w:ascii="Times New Roman" w:hAnsi="Times New Roman" w:cs="Times New Roman"/>
          <w:i/>
          <w:iCs/>
        </w:rPr>
        <w:t xml:space="preserve">S. </w:t>
      </w:r>
      <w:proofErr w:type="spellStart"/>
      <w:r w:rsidRPr="00776BAD">
        <w:rPr>
          <w:rFonts w:ascii="Times New Roman" w:hAnsi="Times New Roman" w:cs="Times New Roman"/>
          <w:i/>
          <w:iCs/>
        </w:rPr>
        <w:t>arcanum</w:t>
      </w:r>
      <w:proofErr w:type="spellEnd"/>
      <w:r w:rsidRPr="00776BAD">
        <w:rPr>
          <w:rFonts w:ascii="Times New Roman" w:hAnsi="Times New Roman" w:cs="Times New Roman"/>
          <w:i/>
          <w:iCs/>
        </w:rPr>
        <w:t xml:space="preserve"> </w:t>
      </w:r>
      <w:r w:rsidRPr="00776BAD">
        <w:rPr>
          <w:rFonts w:ascii="Times New Roman" w:hAnsi="Times New Roman" w:cs="Times New Roman"/>
        </w:rPr>
        <w:t>var</w:t>
      </w:r>
      <w:r>
        <w:rPr>
          <w:rFonts w:ascii="Times New Roman" w:hAnsi="Times New Roman" w:cs="Times New Roman"/>
        </w:rPr>
        <w:t>.</w:t>
      </w:r>
      <w:r w:rsidRPr="00776BAD">
        <w:rPr>
          <w:rFonts w:ascii="Times New Roman" w:hAnsi="Times New Roman" w:cs="Times New Roman"/>
        </w:rPr>
        <w:t xml:space="preserve"> </w:t>
      </w:r>
      <w:proofErr w:type="spellStart"/>
      <w:r w:rsidRPr="00776BAD">
        <w:rPr>
          <w:rFonts w:ascii="Times New Roman" w:hAnsi="Times New Roman" w:cs="Times New Roman"/>
        </w:rPr>
        <w:t>marañón</w:t>
      </w:r>
      <w:proofErr w:type="spellEnd"/>
      <w:r w:rsidRPr="00776BAD">
        <w:rPr>
          <w:rFonts w:ascii="Times New Roman" w:hAnsi="Times New Roman" w:cs="Times New Roman"/>
        </w:rPr>
        <w:t xml:space="preserve">; C, </w:t>
      </w:r>
      <w:r w:rsidRPr="00776BAD">
        <w:rPr>
          <w:rFonts w:ascii="Times New Roman" w:hAnsi="Times New Roman" w:cs="Times New Roman"/>
          <w:i/>
          <w:iCs/>
        </w:rPr>
        <w:t xml:space="preserve">S. </w:t>
      </w:r>
      <w:proofErr w:type="spellStart"/>
      <w:r w:rsidRPr="00776BAD">
        <w:rPr>
          <w:rFonts w:ascii="Times New Roman" w:hAnsi="Times New Roman" w:cs="Times New Roman"/>
          <w:i/>
          <w:iCs/>
        </w:rPr>
        <w:t>chilense</w:t>
      </w:r>
      <w:proofErr w:type="spellEnd"/>
      <w:r w:rsidRPr="00776BAD">
        <w:rPr>
          <w:rFonts w:ascii="Times New Roman" w:hAnsi="Times New Roman" w:cs="Times New Roman"/>
        </w:rPr>
        <w:t xml:space="preserve">; P, </w:t>
      </w:r>
      <w:r w:rsidRPr="00776BAD">
        <w:rPr>
          <w:rFonts w:ascii="Times New Roman" w:hAnsi="Times New Roman" w:cs="Times New Roman"/>
          <w:i/>
          <w:iCs/>
        </w:rPr>
        <w:t xml:space="preserve">S. </w:t>
      </w:r>
      <w:proofErr w:type="spellStart"/>
      <w:r w:rsidRPr="00776BAD">
        <w:rPr>
          <w:rFonts w:ascii="Times New Roman" w:hAnsi="Times New Roman" w:cs="Times New Roman"/>
          <w:i/>
          <w:iCs/>
        </w:rPr>
        <w:t>peruvianum</w:t>
      </w:r>
      <w:proofErr w:type="spellEnd"/>
      <w:r w:rsidRPr="00776BAD">
        <w:rPr>
          <w:rFonts w:ascii="Times New Roman" w:hAnsi="Times New Roman" w:cs="Times New Roman"/>
        </w:rPr>
        <w:t>.</w:t>
      </w:r>
      <w:proofErr w:type="gramEnd"/>
      <w:r w:rsidRPr="00776BAD">
        <w:rPr>
          <w:rFonts w:ascii="Times New Roman" w:hAnsi="Times New Roman" w:cs="Times New Roman"/>
        </w:rPr>
        <w:t xml:space="preserve"> </w:t>
      </w:r>
      <w:r w:rsidRPr="0051544F">
        <w:rPr>
          <w:rFonts w:ascii="Times New Roman" w:hAnsi="Times New Roman" w:cs="Times New Roman"/>
          <w:b/>
          <w:bCs/>
          <w:lang w:val="fr-FR"/>
        </w:rPr>
        <w:t>AA1</w:t>
      </w:r>
      <w:r w:rsidRPr="0051544F">
        <w:rPr>
          <w:rFonts w:ascii="Times New Roman" w:hAnsi="Times New Roman" w:cs="Times New Roman"/>
          <w:lang w:val="fr-FR"/>
        </w:rPr>
        <w:t xml:space="preserve">, LA2185A × LA1626B; </w:t>
      </w:r>
      <w:r w:rsidRPr="0051544F">
        <w:rPr>
          <w:rFonts w:ascii="Times New Roman" w:hAnsi="Times New Roman" w:cs="Times New Roman"/>
          <w:b/>
          <w:bCs/>
          <w:lang w:val="fr-FR"/>
        </w:rPr>
        <w:t>AA2</w:t>
      </w:r>
      <w:r w:rsidRPr="0051544F">
        <w:rPr>
          <w:rFonts w:ascii="Times New Roman" w:hAnsi="Times New Roman" w:cs="Times New Roman"/>
          <w:lang w:val="fr-FR"/>
        </w:rPr>
        <w:t xml:space="preserve">, LA1626B × LA2185A; </w:t>
      </w:r>
      <w:r w:rsidRPr="0051544F">
        <w:rPr>
          <w:rFonts w:ascii="Times New Roman" w:hAnsi="Times New Roman" w:cs="Times New Roman"/>
          <w:b/>
          <w:bCs/>
          <w:lang w:val="fr-FR"/>
        </w:rPr>
        <w:t>CC1</w:t>
      </w:r>
      <w:r w:rsidRPr="0051544F">
        <w:rPr>
          <w:rFonts w:ascii="Times New Roman" w:hAnsi="Times New Roman" w:cs="Times New Roman"/>
          <w:lang w:val="fr-FR"/>
        </w:rPr>
        <w:t xml:space="preserve">, LA4329B × LA2748B; </w:t>
      </w:r>
      <w:r w:rsidRPr="0051544F">
        <w:rPr>
          <w:rFonts w:ascii="Times New Roman" w:hAnsi="Times New Roman" w:cs="Times New Roman"/>
          <w:b/>
          <w:bCs/>
          <w:lang w:val="fr-FR"/>
        </w:rPr>
        <w:t>CC2</w:t>
      </w:r>
      <w:r w:rsidRPr="0051544F">
        <w:rPr>
          <w:rFonts w:ascii="Times New Roman" w:hAnsi="Times New Roman" w:cs="Times New Roman"/>
          <w:lang w:val="fr-FR"/>
        </w:rPr>
        <w:t xml:space="preserve">, LA2748B × LA4329B; </w:t>
      </w:r>
      <w:r w:rsidRPr="0051544F">
        <w:rPr>
          <w:rFonts w:ascii="Times New Roman" w:hAnsi="Times New Roman" w:cs="Times New Roman"/>
          <w:b/>
          <w:bCs/>
          <w:lang w:val="fr-FR"/>
        </w:rPr>
        <w:t>PP1</w:t>
      </w:r>
      <w:r w:rsidRPr="0051544F">
        <w:rPr>
          <w:rFonts w:ascii="Times New Roman" w:hAnsi="Times New Roman" w:cs="Times New Roman"/>
          <w:lang w:val="fr-FR"/>
        </w:rPr>
        <w:t xml:space="preserve">, LA2744B × LA2964A; </w:t>
      </w:r>
      <w:r w:rsidRPr="0051544F">
        <w:rPr>
          <w:rFonts w:ascii="Times New Roman" w:hAnsi="Times New Roman" w:cs="Times New Roman"/>
          <w:b/>
          <w:bCs/>
          <w:lang w:val="fr-FR"/>
        </w:rPr>
        <w:t>PP2</w:t>
      </w:r>
      <w:r w:rsidRPr="0051544F">
        <w:rPr>
          <w:rFonts w:ascii="Times New Roman" w:hAnsi="Times New Roman" w:cs="Times New Roman"/>
          <w:lang w:val="fr-FR"/>
        </w:rPr>
        <w:t xml:space="preserve">, LA2964A × LA2744B; </w:t>
      </w:r>
      <w:r w:rsidRPr="0051544F">
        <w:rPr>
          <w:rFonts w:ascii="Times New Roman" w:hAnsi="Times New Roman" w:cs="Times New Roman"/>
          <w:b/>
          <w:bCs/>
          <w:lang w:val="fr-FR"/>
        </w:rPr>
        <w:t>AC</w:t>
      </w:r>
      <w:r w:rsidRPr="0051544F">
        <w:rPr>
          <w:rFonts w:ascii="Times New Roman" w:hAnsi="Times New Roman" w:cs="Times New Roman"/>
          <w:lang w:val="fr-FR"/>
        </w:rPr>
        <w:t xml:space="preserve">, LA2185A × LA4329B; </w:t>
      </w:r>
      <w:r w:rsidRPr="0051544F">
        <w:rPr>
          <w:rFonts w:ascii="Times New Roman" w:hAnsi="Times New Roman" w:cs="Times New Roman"/>
          <w:b/>
          <w:bCs/>
          <w:lang w:val="fr-FR"/>
        </w:rPr>
        <w:t>CA</w:t>
      </w:r>
      <w:r w:rsidRPr="0051544F">
        <w:rPr>
          <w:rFonts w:ascii="Times New Roman" w:hAnsi="Times New Roman" w:cs="Times New Roman"/>
          <w:lang w:val="fr-FR"/>
        </w:rPr>
        <w:t>, LA4329B × LA2185A;</w:t>
      </w:r>
      <w:r w:rsidRPr="0051544F">
        <w:rPr>
          <w:rFonts w:ascii="Times New Roman" w:hAnsi="Times New Roman" w:cs="Times New Roman"/>
          <w:bCs/>
          <w:lang w:val="fr-FR"/>
        </w:rPr>
        <w:t xml:space="preserve"> </w:t>
      </w:r>
      <w:r w:rsidRPr="0051544F">
        <w:rPr>
          <w:rFonts w:ascii="Times New Roman" w:hAnsi="Times New Roman" w:cs="Times New Roman"/>
          <w:b/>
          <w:bCs/>
          <w:lang w:val="fr-FR"/>
        </w:rPr>
        <w:t>AP</w:t>
      </w:r>
      <w:r w:rsidRPr="0051544F">
        <w:rPr>
          <w:rFonts w:ascii="Times New Roman" w:hAnsi="Times New Roman" w:cs="Times New Roman"/>
          <w:lang w:val="fr-FR"/>
        </w:rPr>
        <w:t xml:space="preserve">, LA2185A × LA2744B; </w:t>
      </w:r>
      <w:r w:rsidRPr="0051544F">
        <w:rPr>
          <w:rFonts w:ascii="Times New Roman" w:hAnsi="Times New Roman" w:cs="Times New Roman"/>
          <w:b/>
          <w:bCs/>
          <w:lang w:val="fr-FR"/>
        </w:rPr>
        <w:t>PA</w:t>
      </w:r>
      <w:r w:rsidRPr="0051544F">
        <w:rPr>
          <w:rFonts w:ascii="Times New Roman" w:hAnsi="Times New Roman" w:cs="Times New Roman"/>
          <w:lang w:val="fr-FR"/>
        </w:rPr>
        <w:t xml:space="preserve">, LA2744B × LA2185A; </w:t>
      </w:r>
      <w:r w:rsidRPr="0051544F">
        <w:rPr>
          <w:rFonts w:ascii="Times New Roman" w:hAnsi="Times New Roman" w:cs="Times New Roman"/>
          <w:b/>
          <w:bCs/>
          <w:lang w:val="fr-FR"/>
        </w:rPr>
        <w:t>CP</w:t>
      </w:r>
      <w:r w:rsidRPr="0051544F">
        <w:rPr>
          <w:rFonts w:ascii="Times New Roman" w:hAnsi="Times New Roman" w:cs="Times New Roman"/>
          <w:lang w:val="fr-FR"/>
        </w:rPr>
        <w:t xml:space="preserve">, LA4329B × LA2744B; </w:t>
      </w:r>
      <w:r w:rsidRPr="0051544F">
        <w:rPr>
          <w:rFonts w:ascii="Times New Roman" w:hAnsi="Times New Roman" w:cs="Times New Roman"/>
          <w:b/>
          <w:bCs/>
          <w:lang w:val="fr-FR"/>
        </w:rPr>
        <w:t>PC</w:t>
      </w:r>
      <w:r w:rsidRPr="0051544F">
        <w:rPr>
          <w:rFonts w:ascii="Times New Roman" w:hAnsi="Times New Roman" w:cs="Times New Roman"/>
          <w:lang w:val="fr-FR"/>
        </w:rPr>
        <w:t xml:space="preserve">, LA2744B × LA4329B. </w:t>
      </w:r>
      <w:r w:rsidRPr="00776BAD">
        <w:rPr>
          <w:rFonts w:ascii="Times New Roman" w:hAnsi="Times New Roman" w:cs="Times New Roman"/>
        </w:rPr>
        <w:t xml:space="preserve">Cross specifications </w:t>
      </w:r>
      <w:r w:rsidR="00E24AFE">
        <w:rPr>
          <w:rFonts w:ascii="Times New Roman" w:hAnsi="Times New Roman" w:cs="Times New Roman"/>
        </w:rPr>
        <w:br/>
      </w:r>
      <w:r w:rsidRPr="00776BAD">
        <w:rPr>
          <w:rFonts w:ascii="Times New Roman" w:hAnsi="Times New Roman" w:cs="Times New Roman"/>
        </w:rPr>
        <w:t xml:space="preserve">are identical in all </w:t>
      </w:r>
      <w:r>
        <w:rPr>
          <w:rFonts w:ascii="Times New Roman" w:hAnsi="Times New Roman" w:cs="Times New Roman"/>
        </w:rPr>
        <w:t>other</w:t>
      </w:r>
      <w:r w:rsidRPr="00776B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display items</w:t>
      </w:r>
      <w:r w:rsidRPr="00776BAD">
        <w:rPr>
          <w:rFonts w:ascii="Times New Roman" w:hAnsi="Times New Roman" w:cs="Times New Roman"/>
        </w:rPr>
        <w:t>.</w:t>
      </w:r>
    </w:p>
    <w:p w14:paraId="2C96FD82" w14:textId="77777777" w:rsidR="00733539" w:rsidRDefault="00733539"/>
    <w:p w14:paraId="68946650" w14:textId="2025EF9E" w:rsidR="000E05A0" w:rsidRDefault="000E05A0">
      <w:r>
        <w:br w:type="page"/>
      </w:r>
    </w:p>
    <w:p w14:paraId="7241F79B" w14:textId="4ED6D629" w:rsidR="000E05A0" w:rsidRDefault="000E05A0" w:rsidP="000E05A0">
      <w:pPr>
        <w:jc w:val="center"/>
      </w:pPr>
      <w:r w:rsidRPr="00F016BF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2E2BC5C" wp14:editId="6F60EA9D">
            <wp:extent cx="5486400" cy="3673475"/>
            <wp:effectExtent l="0" t="0" r="0" b="9525"/>
            <wp:docPr id="2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7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4F91B" w14:textId="77777777" w:rsidR="000E05A0" w:rsidRDefault="000E05A0" w:rsidP="000E05A0"/>
    <w:p w14:paraId="3E619688" w14:textId="77777777" w:rsidR="00E24AFE" w:rsidRDefault="00E24AFE" w:rsidP="000E05A0"/>
    <w:p w14:paraId="2FAA51D4" w14:textId="3B4B653A" w:rsidR="00E24AFE" w:rsidRPr="001D0478" w:rsidRDefault="00E24AFE" w:rsidP="00E24AFE">
      <w:pPr>
        <w:spacing w:line="360" w:lineRule="auto"/>
        <w:rPr>
          <w:rFonts w:ascii="Times New Roman" w:hAnsi="Times New Roman" w:cs="Times New Roman"/>
          <w:b/>
          <w:lang w:val="it-CH"/>
        </w:rPr>
      </w:pPr>
      <w:r>
        <w:rPr>
          <w:rFonts w:ascii="Times New Roman" w:hAnsi="Times New Roman" w:cs="Times New Roman"/>
          <w:b/>
        </w:rPr>
        <w:t xml:space="preserve">Figure </w:t>
      </w:r>
      <w:proofErr w:type="gramStart"/>
      <w:r>
        <w:rPr>
          <w:rFonts w:ascii="Times New Roman" w:hAnsi="Times New Roman" w:cs="Times New Roman"/>
          <w:b/>
        </w:rPr>
        <w:t xml:space="preserve">S2 </w:t>
      </w:r>
      <w:r w:rsidRPr="00776BAD">
        <w:rPr>
          <w:rFonts w:ascii="Times New Roman" w:hAnsi="Times New Roman" w:cs="Times New Roman"/>
          <w:b/>
        </w:rPr>
        <w:t xml:space="preserve"> </w:t>
      </w:r>
      <w:r w:rsidRPr="001D0478">
        <w:rPr>
          <w:rFonts w:ascii="Times New Roman" w:hAnsi="Times New Roman" w:cs="Times New Roman"/>
        </w:rPr>
        <w:t>Crossing</w:t>
      </w:r>
      <w:proofErr w:type="gramEnd"/>
      <w:r w:rsidRPr="001D0478">
        <w:rPr>
          <w:rFonts w:ascii="Times New Roman" w:hAnsi="Times New Roman" w:cs="Times New Roman"/>
        </w:rPr>
        <w:t xml:space="preserve"> design representing the six reciprocal crosses used for our endosperm RNA-</w:t>
      </w:r>
      <w:proofErr w:type="spellStart"/>
      <w:r w:rsidRPr="001D0478">
        <w:rPr>
          <w:rFonts w:ascii="Times New Roman" w:hAnsi="Times New Roman" w:cs="Times New Roman"/>
        </w:rPr>
        <w:t>Seq</w:t>
      </w:r>
      <w:proofErr w:type="spellEnd"/>
      <w:r w:rsidRPr="001D0478">
        <w:rPr>
          <w:rFonts w:ascii="Times New Roman" w:hAnsi="Times New Roman" w:cs="Times New Roman"/>
        </w:rPr>
        <w:t xml:space="preserve"> experiment. Arrows represent reciprocal crosses (white, intraspecific; black, hybrid crosses resulting in strong hybrid seed failure (HSF); grey, hybrid crosses resulting in </w:t>
      </w:r>
      <w:r>
        <w:rPr>
          <w:rFonts w:ascii="Times New Roman" w:hAnsi="Times New Roman" w:cs="Times New Roman"/>
        </w:rPr>
        <w:t>‘</w:t>
      </w:r>
      <w:r w:rsidRPr="001D0478">
        <w:rPr>
          <w:rFonts w:ascii="Times New Roman" w:hAnsi="Times New Roman" w:cs="Times New Roman"/>
        </w:rPr>
        <w:t>weak</w:t>
      </w:r>
      <w:r>
        <w:rPr>
          <w:rFonts w:ascii="Times New Roman" w:hAnsi="Times New Roman" w:cs="Times New Roman"/>
        </w:rPr>
        <w:t>’ (partial)</w:t>
      </w:r>
      <w:r w:rsidRPr="001D0478">
        <w:rPr>
          <w:rFonts w:ascii="Times New Roman" w:hAnsi="Times New Roman" w:cs="Times New Roman"/>
        </w:rPr>
        <w:t xml:space="preserve"> HSF). Each shape represents one wild tomato genotype sampled from separate populations in species A (</w:t>
      </w:r>
      <w:r w:rsidRPr="00776BAD">
        <w:rPr>
          <w:rFonts w:ascii="Times New Roman" w:hAnsi="Times New Roman" w:cs="Times New Roman"/>
          <w:i/>
          <w:iCs/>
        </w:rPr>
        <w:t xml:space="preserve">S. </w:t>
      </w:r>
      <w:proofErr w:type="spellStart"/>
      <w:r w:rsidRPr="00776BAD">
        <w:rPr>
          <w:rFonts w:ascii="Times New Roman" w:hAnsi="Times New Roman" w:cs="Times New Roman"/>
          <w:i/>
          <w:iCs/>
        </w:rPr>
        <w:t>arcanum</w:t>
      </w:r>
      <w:proofErr w:type="spellEnd"/>
      <w:r w:rsidRPr="00776BAD">
        <w:rPr>
          <w:rFonts w:ascii="Times New Roman" w:hAnsi="Times New Roman" w:cs="Times New Roman"/>
          <w:i/>
          <w:iCs/>
        </w:rPr>
        <w:t xml:space="preserve"> </w:t>
      </w:r>
      <w:r w:rsidRPr="00776BAD">
        <w:rPr>
          <w:rFonts w:ascii="Times New Roman" w:hAnsi="Times New Roman" w:cs="Times New Roman"/>
        </w:rPr>
        <w:t>var</w:t>
      </w:r>
      <w:r>
        <w:rPr>
          <w:rFonts w:ascii="Times New Roman" w:hAnsi="Times New Roman" w:cs="Times New Roman"/>
        </w:rPr>
        <w:t>.</w:t>
      </w:r>
      <w:r w:rsidRPr="00776BAD">
        <w:rPr>
          <w:rFonts w:ascii="Times New Roman" w:hAnsi="Times New Roman" w:cs="Times New Roman"/>
        </w:rPr>
        <w:t xml:space="preserve"> </w:t>
      </w:r>
      <w:proofErr w:type="spellStart"/>
      <w:r w:rsidRPr="00776BAD">
        <w:rPr>
          <w:rFonts w:ascii="Times New Roman" w:hAnsi="Times New Roman" w:cs="Times New Roman"/>
        </w:rPr>
        <w:t>marañón</w:t>
      </w:r>
      <w:proofErr w:type="spellEnd"/>
      <w:r>
        <w:rPr>
          <w:rFonts w:ascii="Times New Roman" w:hAnsi="Times New Roman" w:cs="Times New Roman"/>
        </w:rPr>
        <w:t>;</w:t>
      </w:r>
      <w:r w:rsidRPr="001D0478">
        <w:rPr>
          <w:rFonts w:ascii="Times New Roman" w:hAnsi="Times New Roman" w:cs="Times New Roman"/>
        </w:rPr>
        <w:t xml:space="preserve"> triangles), C (</w:t>
      </w:r>
      <w:r w:rsidRPr="00776BAD">
        <w:rPr>
          <w:rFonts w:ascii="Times New Roman" w:hAnsi="Times New Roman" w:cs="Times New Roman"/>
          <w:i/>
          <w:iCs/>
        </w:rPr>
        <w:t xml:space="preserve">S. </w:t>
      </w:r>
      <w:proofErr w:type="spellStart"/>
      <w:r w:rsidRPr="00776BAD">
        <w:rPr>
          <w:rFonts w:ascii="Times New Roman" w:hAnsi="Times New Roman" w:cs="Times New Roman"/>
          <w:i/>
          <w:iCs/>
        </w:rPr>
        <w:t>chilense</w:t>
      </w:r>
      <w:proofErr w:type="spellEnd"/>
      <w:r>
        <w:rPr>
          <w:rFonts w:ascii="Times New Roman" w:hAnsi="Times New Roman" w:cs="Times New Roman"/>
        </w:rPr>
        <w:t xml:space="preserve">; </w:t>
      </w:r>
      <w:r w:rsidRPr="001D0478">
        <w:rPr>
          <w:rFonts w:ascii="Times New Roman" w:hAnsi="Times New Roman" w:cs="Times New Roman"/>
        </w:rPr>
        <w:t xml:space="preserve">circles) and </w:t>
      </w:r>
      <w:r>
        <w:rPr>
          <w:rFonts w:ascii="Times New Roman" w:hAnsi="Times New Roman" w:cs="Times New Roman"/>
        </w:rPr>
        <w:br/>
      </w:r>
      <w:r w:rsidRPr="001D0478">
        <w:rPr>
          <w:rFonts w:ascii="Times New Roman" w:hAnsi="Times New Roman" w:cs="Times New Roman"/>
        </w:rPr>
        <w:t>P (</w:t>
      </w:r>
      <w:r w:rsidRPr="00776BAD">
        <w:rPr>
          <w:rFonts w:ascii="Times New Roman" w:hAnsi="Times New Roman" w:cs="Times New Roman"/>
          <w:i/>
          <w:iCs/>
        </w:rPr>
        <w:t xml:space="preserve">S. </w:t>
      </w:r>
      <w:proofErr w:type="spellStart"/>
      <w:r w:rsidRPr="00776BAD">
        <w:rPr>
          <w:rFonts w:ascii="Times New Roman" w:hAnsi="Times New Roman" w:cs="Times New Roman"/>
          <w:i/>
          <w:iCs/>
        </w:rPr>
        <w:t>peruvianum</w:t>
      </w:r>
      <w:proofErr w:type="spellEnd"/>
      <w:r>
        <w:rPr>
          <w:rFonts w:ascii="Times New Roman" w:hAnsi="Times New Roman" w:cs="Times New Roman"/>
        </w:rPr>
        <w:t xml:space="preserve">; </w:t>
      </w:r>
      <w:r w:rsidRPr="001D0478">
        <w:rPr>
          <w:rFonts w:ascii="Times New Roman" w:hAnsi="Times New Roman" w:cs="Times New Roman"/>
        </w:rPr>
        <w:t xml:space="preserve">squares). </w:t>
      </w:r>
      <w:r w:rsidRPr="00D71B69">
        <w:rPr>
          <w:rFonts w:ascii="Times New Roman" w:hAnsi="Times New Roman" w:cs="Times New Roman"/>
          <w:b/>
          <w:bCs/>
          <w:lang w:val="it-CH"/>
        </w:rPr>
        <w:t>A1</w:t>
      </w:r>
      <w:r w:rsidRPr="001D0478">
        <w:rPr>
          <w:rFonts w:ascii="Times New Roman" w:hAnsi="Times New Roman" w:cs="Times New Roman"/>
          <w:lang w:val="it-CH"/>
        </w:rPr>
        <w:t xml:space="preserve">, LA2185A; </w:t>
      </w:r>
      <w:r w:rsidRPr="00D71B69">
        <w:rPr>
          <w:rFonts w:ascii="Times New Roman" w:hAnsi="Times New Roman" w:cs="Times New Roman"/>
          <w:b/>
          <w:bCs/>
          <w:lang w:val="it-CH"/>
        </w:rPr>
        <w:t>A2</w:t>
      </w:r>
      <w:r w:rsidRPr="001D0478">
        <w:rPr>
          <w:rFonts w:ascii="Times New Roman" w:hAnsi="Times New Roman" w:cs="Times New Roman"/>
          <w:lang w:val="it-CH"/>
        </w:rPr>
        <w:t xml:space="preserve">, LA1626B; </w:t>
      </w:r>
      <w:r w:rsidRPr="00D71B69">
        <w:rPr>
          <w:rFonts w:ascii="Times New Roman" w:hAnsi="Times New Roman" w:cs="Times New Roman"/>
          <w:b/>
          <w:bCs/>
          <w:lang w:val="it-CH"/>
        </w:rPr>
        <w:t>C1</w:t>
      </w:r>
      <w:r w:rsidRPr="001D0478">
        <w:rPr>
          <w:rFonts w:ascii="Times New Roman" w:hAnsi="Times New Roman" w:cs="Times New Roman"/>
          <w:lang w:val="it-CH"/>
        </w:rPr>
        <w:t xml:space="preserve">, LA4329B; </w:t>
      </w:r>
      <w:r w:rsidRPr="00D71B69">
        <w:rPr>
          <w:rFonts w:ascii="Times New Roman" w:hAnsi="Times New Roman" w:cs="Times New Roman"/>
          <w:b/>
          <w:bCs/>
          <w:lang w:val="it-CH"/>
        </w:rPr>
        <w:t>C2</w:t>
      </w:r>
      <w:r w:rsidRPr="001D0478">
        <w:rPr>
          <w:rFonts w:ascii="Times New Roman" w:hAnsi="Times New Roman" w:cs="Times New Roman"/>
          <w:lang w:val="it-CH"/>
        </w:rPr>
        <w:t xml:space="preserve">, LA2748B; </w:t>
      </w:r>
      <w:r>
        <w:rPr>
          <w:rFonts w:ascii="Times New Roman" w:hAnsi="Times New Roman" w:cs="Times New Roman"/>
          <w:lang w:val="it-CH"/>
        </w:rPr>
        <w:br/>
      </w:r>
      <w:r w:rsidRPr="00D71B69">
        <w:rPr>
          <w:rFonts w:ascii="Times New Roman" w:hAnsi="Times New Roman" w:cs="Times New Roman"/>
          <w:b/>
          <w:bCs/>
          <w:lang w:val="it-CH"/>
        </w:rPr>
        <w:t>P1</w:t>
      </w:r>
      <w:r w:rsidRPr="001D0478">
        <w:rPr>
          <w:rFonts w:ascii="Times New Roman" w:hAnsi="Times New Roman" w:cs="Times New Roman"/>
          <w:lang w:val="it-CH"/>
        </w:rPr>
        <w:t xml:space="preserve">, LA2744B; </w:t>
      </w:r>
      <w:r w:rsidRPr="00D71B69">
        <w:rPr>
          <w:rFonts w:ascii="Times New Roman" w:hAnsi="Times New Roman" w:cs="Times New Roman"/>
          <w:b/>
          <w:bCs/>
          <w:lang w:val="it-CH"/>
        </w:rPr>
        <w:t>P2</w:t>
      </w:r>
      <w:r w:rsidRPr="001D0478">
        <w:rPr>
          <w:rFonts w:ascii="Times New Roman" w:hAnsi="Times New Roman" w:cs="Times New Roman"/>
          <w:lang w:val="it-CH"/>
        </w:rPr>
        <w:t>, LA2964A.</w:t>
      </w:r>
    </w:p>
    <w:p w14:paraId="0A956E22" w14:textId="77777777" w:rsidR="000E05A0" w:rsidRPr="00E24AFE" w:rsidRDefault="000E05A0" w:rsidP="000E05A0">
      <w:pPr>
        <w:rPr>
          <w:rFonts w:ascii="Times New Roman" w:hAnsi="Times New Roman" w:cs="Times New Roman"/>
        </w:rPr>
      </w:pPr>
    </w:p>
    <w:p w14:paraId="49BBD369" w14:textId="77777777" w:rsidR="000E05A0" w:rsidRPr="00E24AFE" w:rsidRDefault="000E05A0" w:rsidP="000E05A0">
      <w:pPr>
        <w:rPr>
          <w:rFonts w:ascii="Times New Roman" w:hAnsi="Times New Roman" w:cs="Times New Roman"/>
        </w:rPr>
      </w:pPr>
    </w:p>
    <w:p w14:paraId="362FBF2C" w14:textId="53353552" w:rsidR="00E24AFE" w:rsidRPr="00E24AFE" w:rsidRDefault="00E24AFE" w:rsidP="000E05A0">
      <w:pPr>
        <w:rPr>
          <w:rFonts w:ascii="Times New Roman" w:hAnsi="Times New Roman" w:cs="Times New Roman"/>
        </w:rPr>
      </w:pPr>
      <w:r w:rsidRPr="00E24AFE">
        <w:rPr>
          <w:rFonts w:ascii="Times New Roman" w:hAnsi="Times New Roman" w:cs="Times New Roman"/>
        </w:rPr>
        <w:t xml:space="preserve">The following SI </w:t>
      </w:r>
      <w:r>
        <w:rPr>
          <w:rFonts w:ascii="Times New Roman" w:hAnsi="Times New Roman" w:cs="Times New Roman"/>
        </w:rPr>
        <w:t>Tables</w:t>
      </w:r>
      <w:r w:rsidRPr="00E24AFE">
        <w:rPr>
          <w:rFonts w:ascii="Times New Roman" w:hAnsi="Times New Roman" w:cs="Times New Roman"/>
        </w:rPr>
        <w:t xml:space="preserve"> are available as a separate Excel file:</w:t>
      </w:r>
    </w:p>
    <w:p w14:paraId="5BD1414E" w14:textId="77777777" w:rsidR="00E24AFE" w:rsidRPr="00E24AFE" w:rsidRDefault="00E24AFE" w:rsidP="000E05A0">
      <w:pPr>
        <w:rPr>
          <w:rFonts w:ascii="Times New Roman" w:hAnsi="Times New Roman" w:cs="Times New Roman"/>
        </w:rPr>
      </w:pPr>
    </w:p>
    <w:p w14:paraId="1025343D" w14:textId="77777777" w:rsidR="00E24AFE" w:rsidRDefault="00E24AFE" w:rsidP="00E24AFE">
      <w:pPr>
        <w:spacing w:line="360" w:lineRule="auto"/>
        <w:rPr>
          <w:rFonts w:ascii="Times New Roman" w:hAnsi="Times New Roman" w:cs="Times New Roman"/>
        </w:rPr>
      </w:pPr>
      <w:r w:rsidRPr="00CE0963">
        <w:rPr>
          <w:rFonts w:ascii="Times New Roman" w:hAnsi="Times New Roman" w:cs="Times New Roman"/>
          <w:b/>
        </w:rPr>
        <w:t xml:space="preserve">Table </w:t>
      </w:r>
      <w:proofErr w:type="gramStart"/>
      <w:r w:rsidRPr="00CE0963">
        <w:rPr>
          <w:rFonts w:ascii="Times New Roman" w:hAnsi="Times New Roman" w:cs="Times New Roman"/>
          <w:b/>
        </w:rPr>
        <w:t>S1</w:t>
      </w:r>
      <w:r w:rsidRPr="00CE09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617C8">
        <w:rPr>
          <w:rFonts w:ascii="Times New Roman" w:hAnsi="Times New Roman" w:cs="Times New Roman"/>
        </w:rPr>
        <w:t>Target</w:t>
      </w:r>
      <w:proofErr w:type="gramEnd"/>
      <w:r w:rsidRPr="00F617C8">
        <w:rPr>
          <w:rFonts w:ascii="Times New Roman" w:hAnsi="Times New Roman" w:cs="Times New Roman"/>
        </w:rPr>
        <w:t xml:space="preserve"> table used in </w:t>
      </w:r>
      <w:proofErr w:type="spellStart"/>
      <w:r w:rsidRPr="00F617C8">
        <w:rPr>
          <w:rFonts w:ascii="Times New Roman" w:hAnsi="Times New Roman" w:cs="Times New Roman"/>
        </w:rPr>
        <w:t>EdgeR</w:t>
      </w:r>
      <w:proofErr w:type="spellEnd"/>
      <w:r w:rsidRPr="00F617C8">
        <w:rPr>
          <w:rFonts w:ascii="Times New Roman" w:hAnsi="Times New Roman" w:cs="Times New Roman"/>
        </w:rPr>
        <w:t xml:space="preserve"> describing all samples and categories used for cross comparisons</w:t>
      </w:r>
      <w:r>
        <w:rPr>
          <w:rFonts w:ascii="Times New Roman" w:hAnsi="Times New Roman" w:cs="Times New Roman"/>
        </w:rPr>
        <w:t>.</w:t>
      </w:r>
    </w:p>
    <w:p w14:paraId="7E51C06E" w14:textId="77777777" w:rsidR="00E24AFE" w:rsidRDefault="00E24AFE" w:rsidP="00E24AFE">
      <w:pPr>
        <w:spacing w:line="360" w:lineRule="auto"/>
        <w:rPr>
          <w:rFonts w:ascii="Times New Roman" w:hAnsi="Times New Roman" w:cs="Times New Roman"/>
        </w:rPr>
      </w:pPr>
      <w:r w:rsidRPr="00CE0963">
        <w:rPr>
          <w:rFonts w:ascii="Times New Roman" w:hAnsi="Times New Roman" w:cs="Times New Roman"/>
          <w:b/>
        </w:rPr>
        <w:t xml:space="preserve">Table </w:t>
      </w:r>
      <w:proofErr w:type="gramStart"/>
      <w:r w:rsidRPr="00CE0963">
        <w:rPr>
          <w:rFonts w:ascii="Times New Roman" w:hAnsi="Times New Roman" w:cs="Times New Roman"/>
          <w:b/>
        </w:rPr>
        <w:t>S2</w:t>
      </w:r>
      <w:r w:rsidRPr="00CE0963">
        <w:rPr>
          <w:rFonts w:ascii="Times New Roman" w:hAnsi="Times New Roman" w:cs="Times New Roman"/>
        </w:rPr>
        <w:t xml:space="preserve"> </w:t>
      </w:r>
      <w:r w:rsidRPr="00F617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Specific</w:t>
      </w:r>
      <w:proofErr w:type="gramEnd"/>
      <w:r>
        <w:rPr>
          <w:rFonts w:ascii="Times New Roman" w:hAnsi="Times New Roman" w:cs="Times New Roman"/>
        </w:rPr>
        <w:t xml:space="preserve"> c</w:t>
      </w:r>
      <w:r w:rsidRPr="00F617C8">
        <w:rPr>
          <w:rFonts w:ascii="Times New Roman" w:hAnsi="Times New Roman" w:cs="Times New Roman"/>
        </w:rPr>
        <w:t xml:space="preserve">ontrasts used in </w:t>
      </w:r>
      <w:proofErr w:type="spellStart"/>
      <w:r w:rsidRPr="00F617C8">
        <w:rPr>
          <w:rFonts w:ascii="Times New Roman" w:hAnsi="Times New Roman" w:cs="Times New Roman"/>
        </w:rPr>
        <w:t>EdgeR</w:t>
      </w:r>
      <w:proofErr w:type="spellEnd"/>
      <w:r w:rsidRPr="00F617C8">
        <w:rPr>
          <w:rFonts w:ascii="Times New Roman" w:hAnsi="Times New Roman" w:cs="Times New Roman"/>
        </w:rPr>
        <w:t xml:space="preserve"> for each differential gene expressio</w:t>
      </w:r>
      <w:r>
        <w:rPr>
          <w:rFonts w:ascii="Times New Roman" w:hAnsi="Times New Roman" w:cs="Times New Roman"/>
        </w:rPr>
        <w:t>n analysis.</w:t>
      </w:r>
    </w:p>
    <w:p w14:paraId="2150259D" w14:textId="77777777" w:rsidR="00E24AFE" w:rsidRDefault="00E24AFE" w:rsidP="00E24AFE">
      <w:pPr>
        <w:spacing w:line="360" w:lineRule="auto"/>
        <w:rPr>
          <w:rFonts w:ascii="Times New Roman" w:hAnsi="Times New Roman" w:cs="Times New Roman"/>
        </w:rPr>
      </w:pPr>
      <w:r w:rsidRPr="00CE0963">
        <w:rPr>
          <w:rFonts w:ascii="Times New Roman" w:hAnsi="Times New Roman" w:cs="Times New Roman"/>
          <w:b/>
        </w:rPr>
        <w:t xml:space="preserve">Table </w:t>
      </w:r>
      <w:proofErr w:type="gramStart"/>
      <w:r w:rsidRPr="00CE0963">
        <w:rPr>
          <w:rFonts w:ascii="Times New Roman" w:hAnsi="Times New Roman" w:cs="Times New Roman"/>
          <w:b/>
        </w:rPr>
        <w:t>S3</w:t>
      </w:r>
      <w:r w:rsidRPr="00CE0963">
        <w:rPr>
          <w:rFonts w:ascii="Times New Roman" w:hAnsi="Times New Roman" w:cs="Times New Roman"/>
        </w:rPr>
        <w:t xml:space="preserve"> </w:t>
      </w:r>
      <w:r w:rsidRPr="00F617C8">
        <w:rPr>
          <w:rFonts w:ascii="Times New Roman" w:hAnsi="Times New Roman" w:cs="Times New Roman"/>
        </w:rPr>
        <w:t xml:space="preserve"> Differential</w:t>
      </w:r>
      <w:proofErr w:type="gramEnd"/>
      <w:r w:rsidRPr="00F617C8">
        <w:rPr>
          <w:rFonts w:ascii="Times New Roman" w:hAnsi="Times New Roman" w:cs="Times New Roman"/>
        </w:rPr>
        <w:t xml:space="preserve"> gene express</w:t>
      </w:r>
      <w:r>
        <w:rPr>
          <w:rFonts w:ascii="Times New Roman" w:hAnsi="Times New Roman" w:cs="Times New Roman"/>
        </w:rPr>
        <w:t>ion results for 17 contrasts (cross comparisons).</w:t>
      </w:r>
    </w:p>
    <w:p w14:paraId="1ABFB002" w14:textId="77777777" w:rsidR="00E24AFE" w:rsidRDefault="00E24AFE" w:rsidP="00E24AFE">
      <w:pPr>
        <w:spacing w:line="360" w:lineRule="auto"/>
        <w:rPr>
          <w:rFonts w:ascii="Times New Roman" w:hAnsi="Times New Roman" w:cs="Times New Roman"/>
        </w:rPr>
      </w:pPr>
      <w:r w:rsidRPr="00CE0963">
        <w:rPr>
          <w:rFonts w:ascii="Times New Roman" w:hAnsi="Times New Roman" w:cs="Times New Roman"/>
          <w:b/>
        </w:rPr>
        <w:t xml:space="preserve">Table </w:t>
      </w:r>
      <w:proofErr w:type="gramStart"/>
      <w:r w:rsidRPr="00CE0963">
        <w:rPr>
          <w:rFonts w:ascii="Times New Roman" w:hAnsi="Times New Roman" w:cs="Times New Roman"/>
          <w:b/>
        </w:rPr>
        <w:t>S4</w:t>
      </w:r>
      <w:r w:rsidRPr="00CE09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617C8">
        <w:rPr>
          <w:rFonts w:ascii="Times New Roman" w:hAnsi="Times New Roman" w:cs="Times New Roman"/>
        </w:rPr>
        <w:t>GO</w:t>
      </w:r>
      <w:proofErr w:type="gramEnd"/>
      <w:r w:rsidRPr="00F617C8">
        <w:rPr>
          <w:rFonts w:ascii="Times New Roman" w:hAnsi="Times New Roman" w:cs="Times New Roman"/>
        </w:rPr>
        <w:t xml:space="preserve"> term enrichment for differentially expressed genes using </w:t>
      </w:r>
      <w:proofErr w:type="spellStart"/>
      <w:r w:rsidRPr="00F617C8">
        <w:rPr>
          <w:rFonts w:ascii="Times New Roman" w:hAnsi="Times New Roman" w:cs="Times New Roman"/>
        </w:rPr>
        <w:t>TopGO</w:t>
      </w:r>
      <w:proofErr w:type="spellEnd"/>
      <w:r>
        <w:rPr>
          <w:rFonts w:ascii="Times New Roman" w:hAnsi="Times New Roman" w:cs="Times New Roman"/>
        </w:rPr>
        <w:t>.</w:t>
      </w:r>
    </w:p>
    <w:p w14:paraId="46D00A81" w14:textId="77777777" w:rsidR="00E24AFE" w:rsidRPr="00CE0963" w:rsidRDefault="00E24AFE" w:rsidP="00E24AFE">
      <w:pPr>
        <w:spacing w:line="360" w:lineRule="auto"/>
        <w:rPr>
          <w:rFonts w:ascii="Times New Roman" w:hAnsi="Times New Roman" w:cs="Times New Roman"/>
        </w:rPr>
      </w:pPr>
      <w:r w:rsidRPr="00CE0963">
        <w:rPr>
          <w:rFonts w:ascii="Times New Roman" w:hAnsi="Times New Roman" w:cs="Times New Roman"/>
          <w:b/>
        </w:rPr>
        <w:t xml:space="preserve">Table </w:t>
      </w:r>
      <w:proofErr w:type="gramStart"/>
      <w:r w:rsidRPr="00CE0963">
        <w:rPr>
          <w:rFonts w:ascii="Times New Roman" w:hAnsi="Times New Roman" w:cs="Times New Roman"/>
          <w:b/>
        </w:rPr>
        <w:t>S5</w:t>
      </w:r>
      <w:r>
        <w:rPr>
          <w:rFonts w:ascii="Times New Roman" w:hAnsi="Times New Roman" w:cs="Times New Roman"/>
        </w:rPr>
        <w:t xml:space="preserve">  </w:t>
      </w:r>
      <w:r w:rsidRPr="00F617C8">
        <w:rPr>
          <w:rFonts w:ascii="Times New Roman" w:hAnsi="Times New Roman" w:cs="Times New Roman"/>
        </w:rPr>
        <w:t>Differential</w:t>
      </w:r>
      <w:proofErr w:type="gramEnd"/>
      <w:r w:rsidRPr="00F617C8">
        <w:rPr>
          <w:rFonts w:ascii="Times New Roman" w:hAnsi="Times New Roman" w:cs="Times New Roman"/>
        </w:rPr>
        <w:t xml:space="preserve"> gene expression </w:t>
      </w:r>
      <w:r>
        <w:rPr>
          <w:rFonts w:ascii="Times New Roman" w:hAnsi="Times New Roman" w:cs="Times New Roman"/>
        </w:rPr>
        <w:t xml:space="preserve">results </w:t>
      </w:r>
      <w:r w:rsidRPr="00F617C8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15 contrasts</w:t>
      </w:r>
      <w:r w:rsidRPr="00F617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F617C8">
        <w:rPr>
          <w:rFonts w:ascii="Times New Roman" w:hAnsi="Times New Roman" w:cs="Times New Roman"/>
        </w:rPr>
        <w:t>cross comparison</w:t>
      </w:r>
      <w:r>
        <w:rPr>
          <w:rFonts w:ascii="Times New Roman" w:hAnsi="Times New Roman" w:cs="Times New Roman"/>
        </w:rPr>
        <w:t>s)</w:t>
      </w:r>
      <w:r w:rsidRPr="00F617C8">
        <w:rPr>
          <w:rFonts w:ascii="Times New Roman" w:hAnsi="Times New Roman" w:cs="Times New Roman"/>
        </w:rPr>
        <w:t xml:space="preserve"> for 58 candidate imprinted genes in wild tomatoes (Roth </w:t>
      </w:r>
      <w:r w:rsidRPr="00CE0963">
        <w:rPr>
          <w:rFonts w:ascii="Times New Roman" w:hAnsi="Times New Roman" w:cs="Times New Roman"/>
          <w:i/>
        </w:rPr>
        <w:t>et al</w:t>
      </w:r>
      <w:r w:rsidRPr="00F617C8">
        <w:rPr>
          <w:rFonts w:ascii="Times New Roman" w:hAnsi="Times New Roman" w:cs="Times New Roman"/>
        </w:rPr>
        <w:t>. 2018b)</w:t>
      </w:r>
      <w:r>
        <w:rPr>
          <w:rFonts w:ascii="Times New Roman" w:hAnsi="Times New Roman" w:cs="Times New Roman"/>
        </w:rPr>
        <w:t>.</w:t>
      </w:r>
    </w:p>
    <w:sectPr w:rsidR="00E24AFE" w:rsidRPr="00CE0963" w:rsidSect="00E24AFE">
      <w:pgSz w:w="11900" w:h="16840"/>
      <w:pgMar w:top="1361" w:right="1247" w:bottom="2041" w:left="1418" w:header="709" w:footer="158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39"/>
    <w:rsid w:val="000E05A0"/>
    <w:rsid w:val="00102FBE"/>
    <w:rsid w:val="00115C50"/>
    <w:rsid w:val="00733539"/>
    <w:rsid w:val="008772CC"/>
    <w:rsid w:val="00CE6AE3"/>
    <w:rsid w:val="00E24AFE"/>
    <w:rsid w:val="00E5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DA2C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A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A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1671</Characters>
  <Application>Microsoft Macintosh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Städler</dc:creator>
  <cp:keywords/>
  <dc:description/>
  <cp:lastModifiedBy>Thomas Städler</cp:lastModifiedBy>
  <cp:revision>6</cp:revision>
  <dcterms:created xsi:type="dcterms:W3CDTF">2019-03-21T11:27:00Z</dcterms:created>
  <dcterms:modified xsi:type="dcterms:W3CDTF">2019-03-21T14:12:00Z</dcterms:modified>
</cp:coreProperties>
</file>