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DD" w:rsidRDefault="002A04A0">
      <w:r w:rsidRPr="002A04A0">
        <w:rPr>
          <w:noProof/>
          <w:lang w:eastAsia="es-ES"/>
        </w:rPr>
        <w:drawing>
          <wp:inline distT="0" distB="0" distL="0" distR="0">
            <wp:extent cx="5400040" cy="4321328"/>
            <wp:effectExtent l="0" t="0" r="0" b="3175"/>
            <wp:docPr id="1" name="Imagen 1" descr="\\Vboxsvr\vb\Genetics 3\Fi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boxsvr\vb\Genetics 3\Fig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A0" w:rsidRDefault="002A04A0"/>
    <w:p w:rsidR="002A04A0" w:rsidRPr="00A34ECA" w:rsidRDefault="002A04A0" w:rsidP="009F161B">
      <w:pPr>
        <w:spacing w:after="0" w:line="240" w:lineRule="auto"/>
        <w:jc w:val="both"/>
        <w:rPr>
          <w:lang w:val="en-US"/>
        </w:rPr>
      </w:pPr>
      <w:r>
        <w:rPr>
          <w:b/>
          <w:lang w:val="en-US"/>
        </w:rPr>
        <w:t>Figure S5</w:t>
      </w:r>
      <w:r w:rsidRPr="00A34ECA">
        <w:rPr>
          <w:b/>
          <w:lang w:val="en-US"/>
        </w:rPr>
        <w:t>. Observed and expected values of heritability.</w:t>
      </w:r>
      <w:r w:rsidR="002C5EF2">
        <w:rPr>
          <w:b/>
          <w:lang w:val="en-US"/>
        </w:rPr>
        <w:t xml:space="preserve"> </w:t>
      </w:r>
      <w:bookmarkStart w:id="0" w:name="_GoBack"/>
      <w:bookmarkEnd w:id="0"/>
      <w:r w:rsidR="009374EE" w:rsidRPr="009374EE">
        <w:rPr>
          <w:lang w:val="en-US"/>
        </w:rPr>
        <w:t xml:space="preserve">This Figure is analogue to Figure </w:t>
      </w:r>
      <w:r w:rsidR="009374EE">
        <w:rPr>
          <w:lang w:val="en-US"/>
        </w:rPr>
        <w:t>4 in the main text, but inferences are based on a dataset where loci were pruned by using a 1-MB window (</w:t>
      </w:r>
      <w:r w:rsidR="009374EE" w:rsidRPr="00FF06BC">
        <w:rPr>
          <w:lang w:val="en-US"/>
        </w:rPr>
        <w:t>see Table S7).</w:t>
      </w:r>
      <w:r w:rsidR="009F161B">
        <w:rPr>
          <w:lang w:val="en-US"/>
        </w:rPr>
        <w:t xml:space="preserve"> </w:t>
      </w:r>
      <w:r w:rsidRPr="00A34ECA">
        <w:rPr>
          <w:lang w:val="en-US"/>
        </w:rPr>
        <w:t>The full length of bars indicate the mean familial heritability (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fam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bSup>
      </m:oMath>
      <w:r w:rsidRPr="00A34ECA">
        <w:rPr>
          <w:lang w:val="en-US"/>
        </w:rPr>
        <w:t xml:space="preserve">) for the studied traits. In solid color it is shown the heritability explained by the </w:t>
      </w:r>
      <w:r>
        <w:rPr>
          <w:lang w:val="en-US"/>
        </w:rPr>
        <w:t>loci</w:t>
      </w:r>
      <w:r w:rsidRPr="00A34ECA">
        <w:rPr>
          <w:lang w:val="en-US"/>
        </w:rPr>
        <w:t xml:space="preserve"> already found and available from the Catalog (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gwas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bSup>
      </m:oMath>
      <w:r w:rsidRPr="00A34ECA">
        <w:rPr>
          <w:lang w:val="en-US"/>
        </w:rPr>
        <w:t xml:space="preserve">). The blue error bar gives the inferred value of heritability (the dot corresponds to the median value) that approaches most to the familial heritability with a 95% confidence interval, using data from the expected distribution of </w:t>
      </w:r>
      <w:r>
        <w:rPr>
          <w:lang w:val="en-US"/>
        </w:rPr>
        <w:t>locus</w:t>
      </w:r>
      <w:r w:rsidRPr="00A34ECA">
        <w:rPr>
          <w:lang w:val="en-US"/>
        </w:rPr>
        <w:t xml:space="preserve"> effects. The expected number of </w:t>
      </w:r>
      <w:r>
        <w:rPr>
          <w:lang w:val="en-US"/>
        </w:rPr>
        <w:t>loci</w:t>
      </w:r>
      <w:r w:rsidRPr="00A34ECA">
        <w:rPr>
          <w:lang w:val="en-US"/>
        </w:rPr>
        <w:t xml:space="preserve"> for each trait required to produce the expected heritabilities within the error bars are given over the bars. Traits are colored depending on the functional domain they belong: Cancer (green), endocrine (orange), gastrointestinal (brown), hematological (red), immunological (yellow), metabolic (beige), skeletal (grey).</w:t>
      </w:r>
    </w:p>
    <w:p w:rsidR="002A04A0" w:rsidRPr="002A04A0" w:rsidRDefault="002A04A0">
      <w:pPr>
        <w:rPr>
          <w:lang w:val="en-US"/>
        </w:rPr>
      </w:pPr>
    </w:p>
    <w:sectPr w:rsidR="002A04A0" w:rsidRPr="002A0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A0"/>
    <w:rsid w:val="002667DD"/>
    <w:rsid w:val="002A04A0"/>
    <w:rsid w:val="002C5EF2"/>
    <w:rsid w:val="009374EE"/>
    <w:rsid w:val="009F161B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CFEAD-01F8-4086-967E-F2A441A2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4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killbill</dc:creator>
  <cp:keywords/>
  <dc:description/>
  <cp:lastModifiedBy>killbill</cp:lastModifiedBy>
  <cp:revision>5</cp:revision>
  <dcterms:created xsi:type="dcterms:W3CDTF">2019-02-28T16:20:00Z</dcterms:created>
  <dcterms:modified xsi:type="dcterms:W3CDTF">2019-03-04T10:02:00Z</dcterms:modified>
</cp:coreProperties>
</file>