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Pr="0084773A" w:rsidRDefault="00E0597A" w:rsidP="00E059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4773A">
        <w:rPr>
          <w:rFonts w:ascii="Times New Roman" w:hAnsi="Times New Roman"/>
          <w:b/>
          <w:sz w:val="24"/>
          <w:szCs w:val="24"/>
        </w:rPr>
        <w:t>Fig. S1.</w:t>
      </w:r>
      <w:r w:rsidRPr="0084773A">
        <w:rPr>
          <w:rFonts w:ascii="Times New Roman" w:hAnsi="Times New Roman"/>
          <w:sz w:val="24"/>
          <w:szCs w:val="24"/>
        </w:rPr>
        <w:t xml:space="preserve"> </w:t>
      </w:r>
      <w:r w:rsidRPr="0084773A">
        <w:rPr>
          <w:rFonts w:ascii="Times New Roman" w:hAnsi="Times New Roman"/>
          <w:b/>
          <w:sz w:val="24"/>
          <w:szCs w:val="24"/>
        </w:rPr>
        <w:t>Confirmation of transposon integration in PGPR2 mutant library.</w:t>
      </w:r>
      <w:r w:rsidRPr="0084773A">
        <w:rPr>
          <w:rFonts w:ascii="Times New Roman" w:hAnsi="Times New Roman"/>
          <w:sz w:val="24"/>
          <w:szCs w:val="24"/>
        </w:rPr>
        <w:t xml:space="preserve"> (A) Integration of mariner transposon was confirmed with PCR to amplify the transposon. Lane M, 1-kb molecular weight DNA marker (Thermo Fisher Scientific, USA); “-”, negative control (gDNA from </w:t>
      </w:r>
      <w:r w:rsidRPr="0084773A">
        <w:rPr>
          <w:rFonts w:ascii="Times New Roman" w:hAnsi="Times New Roman"/>
          <w:i/>
          <w:sz w:val="24"/>
          <w:szCs w:val="24"/>
        </w:rPr>
        <w:t>P</w:t>
      </w:r>
      <w:r w:rsidRPr="0084773A">
        <w:rPr>
          <w:rFonts w:ascii="Times New Roman" w:hAnsi="Times New Roman"/>
          <w:sz w:val="24"/>
          <w:szCs w:val="24"/>
        </w:rPr>
        <w:t xml:space="preserve">. </w:t>
      </w:r>
      <w:r w:rsidRPr="0084773A">
        <w:rPr>
          <w:rFonts w:ascii="Times New Roman" w:hAnsi="Times New Roman"/>
          <w:i/>
          <w:sz w:val="24"/>
          <w:szCs w:val="24"/>
        </w:rPr>
        <w:t>aeruginosa</w:t>
      </w:r>
      <w:r w:rsidRPr="0084773A">
        <w:rPr>
          <w:rFonts w:ascii="Times New Roman" w:hAnsi="Times New Roman"/>
          <w:sz w:val="24"/>
          <w:szCs w:val="24"/>
        </w:rPr>
        <w:t xml:space="preserve"> PGPR2); “+”, positive control (pSAM_BT plasmid DNA); lane 3-14, PCR amplification of Gm</w:t>
      </w:r>
      <w:r w:rsidRPr="0084773A">
        <w:rPr>
          <w:rFonts w:ascii="Times New Roman" w:hAnsi="Times New Roman"/>
          <w:sz w:val="24"/>
          <w:szCs w:val="24"/>
          <w:vertAlign w:val="superscript"/>
        </w:rPr>
        <w:t xml:space="preserve">R </w:t>
      </w:r>
      <w:r w:rsidRPr="0084773A">
        <w:rPr>
          <w:rFonts w:ascii="Times New Roman" w:hAnsi="Times New Roman"/>
          <w:sz w:val="24"/>
          <w:szCs w:val="24"/>
        </w:rPr>
        <w:t xml:space="preserve">antibiotic cassette from gDNA of individual mutants of </w:t>
      </w:r>
      <w:r w:rsidRPr="0084773A">
        <w:rPr>
          <w:rFonts w:ascii="Times New Roman" w:hAnsi="Times New Roman"/>
          <w:i/>
          <w:sz w:val="24"/>
          <w:szCs w:val="24"/>
        </w:rPr>
        <w:t>P</w:t>
      </w:r>
      <w:r w:rsidRPr="0084773A">
        <w:rPr>
          <w:rFonts w:ascii="Times New Roman" w:hAnsi="Times New Roman"/>
          <w:sz w:val="24"/>
          <w:szCs w:val="24"/>
        </w:rPr>
        <w:t xml:space="preserve">. </w:t>
      </w:r>
      <w:r w:rsidRPr="0084773A">
        <w:rPr>
          <w:rFonts w:ascii="Times New Roman" w:hAnsi="Times New Roman"/>
          <w:i/>
          <w:sz w:val="24"/>
          <w:szCs w:val="24"/>
        </w:rPr>
        <w:t>aeruginosa</w:t>
      </w:r>
      <w:r w:rsidRPr="0084773A">
        <w:rPr>
          <w:rFonts w:ascii="Times New Roman" w:hAnsi="Times New Roman"/>
          <w:sz w:val="24"/>
          <w:szCs w:val="24"/>
        </w:rPr>
        <w:t xml:space="preserve"> PGPR2. (B) PCR for the same samples using </w:t>
      </w:r>
      <w:r w:rsidRPr="0084773A">
        <w:rPr>
          <w:rFonts w:ascii="Times New Roman" w:hAnsi="Times New Roman"/>
          <w:i/>
          <w:sz w:val="24"/>
          <w:szCs w:val="24"/>
        </w:rPr>
        <w:t>himar</w:t>
      </w:r>
      <w:r w:rsidRPr="0084773A">
        <w:rPr>
          <w:rFonts w:ascii="Times New Roman" w:hAnsi="Times New Roman"/>
          <w:sz w:val="24"/>
          <w:szCs w:val="24"/>
        </w:rPr>
        <w:t xml:space="preserve"> transposase gene primers should be lost in mutants upon proper integration of transposon.</w:t>
      </w:r>
    </w:p>
    <w:p w:rsidR="00E0597A" w:rsidRPr="0084773A" w:rsidRDefault="00E0597A" w:rsidP="00E059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4773A">
        <w:rPr>
          <w:rFonts w:ascii="Times New Roman" w:hAnsi="Times New Roman"/>
          <w:b/>
          <w:sz w:val="24"/>
          <w:szCs w:val="24"/>
        </w:rPr>
        <w:t>Fig. S2. Southern blot analysis of PGPR2 INSeq library mutants.</w:t>
      </w:r>
      <w:r w:rsidRPr="0084773A">
        <w:rPr>
          <w:rFonts w:ascii="Times New Roman" w:hAnsi="Times New Roman"/>
          <w:sz w:val="24"/>
          <w:szCs w:val="24"/>
        </w:rPr>
        <w:t xml:space="preserve"> Genomic DNA of wild type PGPR2 (WT) and 13 INSeq mutants were digested with </w:t>
      </w:r>
      <w:r w:rsidRPr="0084773A">
        <w:rPr>
          <w:rFonts w:ascii="Times New Roman" w:hAnsi="Times New Roman"/>
          <w:i/>
          <w:sz w:val="24"/>
          <w:szCs w:val="24"/>
        </w:rPr>
        <w:t>Hin</w:t>
      </w:r>
      <w:r w:rsidRPr="0084773A">
        <w:rPr>
          <w:rFonts w:ascii="Times New Roman" w:hAnsi="Times New Roman"/>
          <w:sz w:val="24"/>
          <w:szCs w:val="24"/>
        </w:rPr>
        <w:t>dIII restriction enzyme and resolved on an 0.8% agarose gel. A gentamicin resistance gene used as a probe revealed a single insertion and random integration of the transposon.</w:t>
      </w:r>
    </w:p>
    <w:p w:rsidR="00E0597A" w:rsidRPr="0084773A" w:rsidRDefault="00E0597A" w:rsidP="00E0597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4773A">
        <w:rPr>
          <w:rFonts w:ascii="Times New Roman" w:hAnsi="Times New Roman"/>
          <w:b/>
          <w:sz w:val="24"/>
          <w:szCs w:val="24"/>
        </w:rPr>
        <w:t xml:space="preserve">Fig. S3. </w:t>
      </w:r>
      <w:r w:rsidRPr="0084773A">
        <w:rPr>
          <w:rFonts w:ascii="Times New Roman" w:hAnsi="Times New Roman"/>
          <w:sz w:val="24"/>
          <w:szCs w:val="24"/>
        </w:rPr>
        <w:t xml:space="preserve">Genome map of </w:t>
      </w:r>
      <w:r w:rsidRPr="0084773A">
        <w:rPr>
          <w:rFonts w:ascii="Times New Roman" w:hAnsi="Times New Roman"/>
          <w:i/>
          <w:sz w:val="24"/>
          <w:szCs w:val="24"/>
        </w:rPr>
        <w:t>P. aeruginosa</w:t>
      </w:r>
      <w:r w:rsidRPr="0084773A">
        <w:rPr>
          <w:rFonts w:ascii="Times New Roman" w:hAnsi="Times New Roman"/>
          <w:sz w:val="24"/>
          <w:szCs w:val="24"/>
        </w:rPr>
        <w:t xml:space="preserve"> PGPR2 showing transposon insertion sites. The outer circle represents the forward strand (red), the inner circle represents the reverse strand (blue), and the purple bars represent the transposon insertion sites.</w:t>
      </w:r>
    </w:p>
    <w:p w:rsidR="00E0597A" w:rsidRPr="0084773A" w:rsidRDefault="00E0597A" w:rsidP="00E0597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4773A">
        <w:rPr>
          <w:rFonts w:ascii="Times New Roman" w:hAnsi="Times New Roman"/>
          <w:b/>
          <w:sz w:val="24"/>
          <w:szCs w:val="24"/>
        </w:rPr>
        <w:t xml:space="preserve">Fig. S4. </w:t>
      </w:r>
      <w:r w:rsidRPr="0084773A">
        <w:rPr>
          <w:rFonts w:ascii="Times New Roman" w:hAnsi="Times New Roman"/>
          <w:sz w:val="24"/>
          <w:szCs w:val="24"/>
        </w:rPr>
        <w:t>Functional categorization of essential genes responsible for growth of PGPR2. The functional classification was done according to protein annotation by COG database using WebMGA.</w:t>
      </w:r>
    </w:p>
    <w:p w:rsidR="00E0597A" w:rsidRPr="0084773A" w:rsidRDefault="00E0597A" w:rsidP="00E059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4773A">
        <w:rPr>
          <w:rFonts w:ascii="Times New Roman" w:hAnsi="Times New Roman"/>
          <w:b/>
          <w:sz w:val="24"/>
          <w:szCs w:val="24"/>
        </w:rPr>
        <w:t>Fig. S5.</w:t>
      </w:r>
      <w:r w:rsidRPr="0084773A">
        <w:rPr>
          <w:rFonts w:ascii="Times New Roman" w:hAnsi="Times New Roman"/>
          <w:sz w:val="24"/>
          <w:szCs w:val="24"/>
        </w:rPr>
        <w:t xml:space="preserve"> Functional categorization of genes responsible for the fitness of PGPR2 during corn root colonization. The functional classification was done according to protein annotation by COG database using WebMGA.</w:t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 w:rsidRPr="002636B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8350" cy="2886075"/>
            <wp:effectExtent l="0" t="0" r="0" b="9525"/>
            <wp:docPr id="4" name="Picture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 S2</w:t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jc w:val="center"/>
        <w:rPr>
          <w:rFonts w:ascii="Times New Roman" w:hAnsi="Times New Roman"/>
          <w:sz w:val="24"/>
          <w:szCs w:val="24"/>
        </w:rPr>
      </w:pPr>
      <w:r w:rsidRPr="002636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19625" cy="4629150"/>
            <wp:effectExtent l="0" t="0" r="9525" b="0"/>
            <wp:docPr id="3" name="Picture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7A" w:rsidRDefault="00E0597A" w:rsidP="00E0597A">
      <w:pPr>
        <w:tabs>
          <w:tab w:val="left" w:pos="2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 S3</w:t>
      </w:r>
    </w:p>
    <w:p w:rsidR="00E0597A" w:rsidRDefault="00E0597A" w:rsidP="00E059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597A" w:rsidRDefault="00E0597A" w:rsidP="00E0597A">
      <w:pPr>
        <w:jc w:val="center"/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jc w:val="center"/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jc w:val="center"/>
        <w:rPr>
          <w:rFonts w:ascii="Times New Roman" w:hAnsi="Times New Roman"/>
          <w:sz w:val="24"/>
          <w:szCs w:val="24"/>
        </w:rPr>
      </w:pPr>
      <w:r w:rsidRPr="002636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86450" cy="3295650"/>
            <wp:effectExtent l="0" t="0" r="0" b="0"/>
            <wp:docPr id="2" name="Picture 2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 S4</w:t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 w:rsidRPr="002636BE">
        <w:rPr>
          <w:rFonts w:ascii="Times New Roman" w:hAnsi="Times New Roman"/>
          <w:sz w:val="24"/>
          <w:szCs w:val="24"/>
        </w:rPr>
        <w:br w:type="page"/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 w:rsidRPr="002636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91225" cy="3657600"/>
            <wp:effectExtent l="0" t="0" r="9525" b="0"/>
            <wp:docPr id="1" name="Picture 1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7A" w:rsidRDefault="00E0597A" w:rsidP="00E05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 S5</w:t>
      </w:r>
    </w:p>
    <w:p w:rsidR="00E0597A" w:rsidRPr="002139EE" w:rsidRDefault="00E0597A" w:rsidP="00E059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2139EE">
        <w:rPr>
          <w:rFonts w:ascii="Times New Roman" w:hAnsi="Times New Roman"/>
          <w:b/>
          <w:sz w:val="24"/>
          <w:szCs w:val="24"/>
        </w:rPr>
        <w:lastRenderedPageBreak/>
        <w:t>Table S1</w:t>
      </w:r>
      <w:r w:rsidRPr="002139EE">
        <w:rPr>
          <w:rFonts w:ascii="Times New Roman" w:hAnsi="Times New Roman"/>
          <w:sz w:val="24"/>
          <w:szCs w:val="24"/>
        </w:rPr>
        <w:t xml:space="preserve"> List of primers used in this study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5710"/>
        <w:gridCol w:w="2530"/>
      </w:tblGrid>
      <w:tr w:rsidR="00E0597A" w:rsidRPr="002139EE" w:rsidTr="0031728C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Primer</w:t>
            </w:r>
          </w:p>
        </w:tc>
        <w:tc>
          <w:tcPr>
            <w:tcW w:w="4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Sequence (5’-3’)</w:t>
            </w:r>
            <w:r w:rsidRPr="002139EE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Purpose</w:t>
            </w:r>
          </w:p>
        </w:tc>
      </w:tr>
      <w:tr w:rsidR="00E0597A" w:rsidRPr="002139EE" w:rsidTr="0031728C"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Gen F</w:t>
            </w:r>
          </w:p>
        </w:tc>
        <w:tc>
          <w:tcPr>
            <w:tcW w:w="4919" w:type="dxa"/>
            <w:tcBorders>
              <w:top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TA</w:t>
            </w:r>
            <w:r w:rsidRPr="002139EE">
              <w:rPr>
                <w:rFonts w:ascii="Times New Roman" w:hAnsi="Times New Roman"/>
                <w:b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CGCGTCAATTCTCGAATTGACA</w:t>
            </w:r>
          </w:p>
        </w:tc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Gm</w:t>
            </w:r>
            <w:r w:rsidRPr="002139EE">
              <w:rPr>
                <w:rFonts w:ascii="Times New Roman" w:hAnsi="Times New Roman"/>
                <w:sz w:val="24"/>
                <w:szCs w:val="24"/>
                <w:vertAlign w:val="superscript"/>
              </w:rPr>
              <w:t>R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PCR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Gen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CA</w:t>
            </w:r>
            <w:r w:rsidRPr="002139EE">
              <w:rPr>
                <w:rFonts w:ascii="Times New Roman" w:hAnsi="Times New Roman"/>
                <w:b/>
                <w:sz w:val="24"/>
                <w:szCs w:val="24"/>
              </w:rPr>
              <w:t>GCGGCCGC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AGGGTTTTCCCAGTCAC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Gm</w:t>
            </w:r>
            <w:r w:rsidRPr="002139EE">
              <w:rPr>
                <w:rFonts w:ascii="Times New Roman" w:hAnsi="Times New Roman"/>
                <w:sz w:val="24"/>
                <w:szCs w:val="24"/>
                <w:vertAlign w:val="superscript"/>
              </w:rPr>
              <w:t>R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PCR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Trans F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CACC</w:t>
            </w:r>
            <w:r w:rsidRPr="002139EE">
              <w:rPr>
                <w:rFonts w:ascii="Times New Roman" w:hAnsi="Times New Roman"/>
                <w:b/>
                <w:sz w:val="24"/>
                <w:szCs w:val="24"/>
              </w:rPr>
              <w:t>GGATCC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CAGTGTGATGGATTGACACATAG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Transposase PCR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Trans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TA</w:t>
            </w:r>
            <w:r w:rsidRPr="002139EE">
              <w:rPr>
                <w:rFonts w:ascii="Times New Roman" w:hAnsi="Times New Roman"/>
                <w:b/>
                <w:sz w:val="24"/>
                <w:szCs w:val="24"/>
              </w:rPr>
              <w:t>GCGGCCGC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AGGGTTTTCCCAGTCACG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Transposase PCR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 xml:space="preserve">trpD 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GAA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ATGGATATCAAGGGAGCCCTC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R1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TAT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CACGAAGGACGCCGCCGAGGA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 xml:space="preserve">trpD 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GTT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GAAGTGCGTCCCGAGGACTTC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ATT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TCACTGTGCGTTCTCCTCTCT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TrpD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hom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GAA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GTGAAACCGGTCAAAGTAGGC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Hom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hom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CAT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GCCTTGGCGAAGATCTCGTTG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Hom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hom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GTT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TGACCTCCGATCCGGAGAACC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Hom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hom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GCG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TCAATTCAGTTGTTCGACACG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Hom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oprF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GCG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ATGAAACTGAAGAACACCTTA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OprF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oprF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AAT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GTGGTAGATGGCGTCCAGAGA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OprF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oprF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GCT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AAGCTT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AAAGAGAACAGCTACGCTGAC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OprF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oprF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GCG</w:t>
            </w:r>
            <w:r w:rsidRPr="002139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CTCGAG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>TTACTTGGCTTCAGCTTCTAC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OprF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cbrA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TAA</w:t>
            </w:r>
            <w:r w:rsidRPr="002139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N"/>
              </w:rPr>
              <w:t>CTCGAG</w:t>
            </w: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ATGCTGACGAGCTTTAGCCTG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CbrA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cbrA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ATT</w:t>
            </w:r>
            <w:r w:rsidRPr="002139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N"/>
              </w:rPr>
              <w:t>AAGCTT</w:t>
            </w: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CGAGCATCACCAGCTTGACCA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CbrA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cbrA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F1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ATT</w:t>
            </w:r>
            <w:r w:rsidRPr="002139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N"/>
              </w:rPr>
              <w:t>AAGCTT</w:t>
            </w: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GAACGCGAAGGCGACGGCGAG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CbrA deletion</w:t>
            </w:r>
          </w:p>
        </w:tc>
      </w:tr>
      <w:tr w:rsidR="00E0597A" w:rsidRPr="002139EE" w:rsidTr="0031728C">
        <w:tc>
          <w:tcPr>
            <w:tcW w:w="1242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i/>
                <w:sz w:val="24"/>
                <w:szCs w:val="24"/>
              </w:rPr>
              <w:t>cbrA</w:t>
            </w:r>
            <w:r w:rsidRPr="002139EE">
              <w:rPr>
                <w:rFonts w:ascii="Times New Roman" w:hAnsi="Times New Roman"/>
                <w:sz w:val="24"/>
                <w:szCs w:val="24"/>
              </w:rPr>
              <w:t xml:space="preserve"> R</w:t>
            </w:r>
          </w:p>
        </w:tc>
        <w:tc>
          <w:tcPr>
            <w:tcW w:w="4919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ATT</w:t>
            </w:r>
            <w:r w:rsidRPr="002139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N"/>
              </w:rPr>
              <w:t>CTCGAG</w:t>
            </w:r>
            <w:r w:rsidRPr="002139EE">
              <w:rPr>
                <w:rFonts w:ascii="Times New Roman" w:eastAsia="Times New Roman" w:hAnsi="Times New Roman"/>
                <w:sz w:val="24"/>
                <w:szCs w:val="24"/>
                <w:lang w:eastAsia="en-IN"/>
              </w:rPr>
              <w:t>CTACAGCTCGGCCGTCGGGCC</w:t>
            </w:r>
          </w:p>
        </w:tc>
        <w:tc>
          <w:tcPr>
            <w:tcW w:w="3081" w:type="dxa"/>
            <w:shd w:val="clear" w:color="auto" w:fill="auto"/>
          </w:tcPr>
          <w:p w:rsidR="00E0597A" w:rsidRPr="002139EE" w:rsidRDefault="00E0597A" w:rsidP="003172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139EE">
              <w:rPr>
                <w:rFonts w:ascii="Times New Roman" w:hAnsi="Times New Roman"/>
                <w:sz w:val="24"/>
                <w:szCs w:val="24"/>
              </w:rPr>
              <w:t>CbrA deletion</w:t>
            </w:r>
          </w:p>
        </w:tc>
      </w:tr>
    </w:tbl>
    <w:p w:rsidR="00E0597A" w:rsidRPr="00EA272E" w:rsidRDefault="00E0597A" w:rsidP="00E0597A">
      <w:pPr>
        <w:spacing w:after="0"/>
        <w:rPr>
          <w:rFonts w:ascii="Times New Roman" w:hAnsi="Times New Roman"/>
          <w:sz w:val="12"/>
          <w:szCs w:val="24"/>
          <w:vertAlign w:val="superscript"/>
        </w:rPr>
      </w:pPr>
    </w:p>
    <w:p w:rsidR="00E0597A" w:rsidRPr="000C5750" w:rsidRDefault="00E0597A" w:rsidP="00E0597A">
      <w:pPr>
        <w:spacing w:after="0"/>
        <w:rPr>
          <w:rFonts w:ascii="Times New Roman" w:hAnsi="Times New Roman"/>
          <w:sz w:val="24"/>
          <w:szCs w:val="24"/>
        </w:rPr>
      </w:pPr>
      <w:r w:rsidRPr="000C5750">
        <w:rPr>
          <w:rFonts w:ascii="Times New Roman" w:hAnsi="Times New Roman"/>
          <w:sz w:val="24"/>
          <w:szCs w:val="24"/>
          <w:vertAlign w:val="superscript"/>
        </w:rPr>
        <w:t>a</w:t>
      </w:r>
      <w:r w:rsidRPr="000C5750">
        <w:rPr>
          <w:rFonts w:ascii="Times New Roman" w:hAnsi="Times New Roman"/>
          <w:sz w:val="24"/>
          <w:szCs w:val="24"/>
        </w:rPr>
        <w:t xml:space="preserve"> Relevant restriction sites are given in bold letters.</w:t>
      </w:r>
    </w:p>
    <w:p w:rsidR="00E0597A" w:rsidRPr="002636BE" w:rsidRDefault="00E0597A" w:rsidP="00E0597A">
      <w:pPr>
        <w:rPr>
          <w:rFonts w:ascii="Times New Roman" w:hAnsi="Times New Roman"/>
          <w:sz w:val="24"/>
          <w:szCs w:val="24"/>
        </w:rPr>
      </w:pPr>
    </w:p>
    <w:p w:rsidR="00414CB6" w:rsidRDefault="00E0597A">
      <w:bookmarkStart w:id="0" w:name="_GoBack"/>
      <w:bookmarkEnd w:id="0"/>
    </w:p>
    <w:sectPr w:rsidR="00414CB6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1B4" w:rsidRDefault="00E0597A">
    <w:pPr>
      <w:pStyle w:val="Footer"/>
      <w:jc w:val="center"/>
    </w:pPr>
    <w:r>
      <w:fldChar w:fldCharType="begin"/>
    </w:r>
    <w:r>
      <w:instrText xml:space="preserve"> PAGE </w:instrText>
    </w:r>
    <w:r>
      <w:instrText xml:space="preserve">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8601B4" w:rsidRDefault="00E0597A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7A"/>
    <w:rsid w:val="00725F38"/>
    <w:rsid w:val="009859B1"/>
    <w:rsid w:val="00E0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D659E-65B7-47FD-8262-E05FB2C1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9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0597A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0597A"/>
    <w:rPr>
      <w:rFonts w:ascii="Calibri" w:eastAsia="Calibri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Benson, John</dc:creator>
  <cp:keywords/>
  <dc:description/>
  <cp:lastModifiedBy>Benson, John</cp:lastModifiedBy>
  <cp:revision>1</cp:revision>
  <dcterms:created xsi:type="dcterms:W3CDTF">2019-01-24T20:23:00Z</dcterms:created>
  <dcterms:modified xsi:type="dcterms:W3CDTF">2019-01-24T20:25:00Z</dcterms:modified>
</cp:coreProperties>
</file>