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566C4E" w14:textId="77777777" w:rsidR="003F56A3" w:rsidRPr="00CA4FF1" w:rsidRDefault="003F56A3" w:rsidP="003F56A3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Arial" w:eastAsia="Times New Roman" w:hAnsi="Arial" w:cs="Arial"/>
          <w:sz w:val="24"/>
          <w:szCs w:val="24"/>
        </w:rPr>
      </w:pPr>
      <w:bookmarkStart w:id="0" w:name="_GoBack"/>
      <w:bookmarkEnd w:id="0"/>
      <w:r w:rsidRPr="00CA4FF1">
        <w:rPr>
          <w:rFonts w:ascii="Arial" w:eastAsia="Times New Roman" w:hAnsi="Arial" w:cs="Arial"/>
          <w:sz w:val="24"/>
          <w:szCs w:val="24"/>
        </w:rPr>
        <w:t>SUPPLEMENTAL TABLE LEGENDS</w:t>
      </w:r>
    </w:p>
    <w:p w14:paraId="1485C79A" w14:textId="77777777" w:rsidR="003F56A3" w:rsidRPr="00C53AC3" w:rsidRDefault="003F56A3" w:rsidP="003F56A3">
      <w:pPr>
        <w:spacing w:line="480" w:lineRule="auto"/>
        <w:rPr>
          <w:rFonts w:ascii="Arial" w:hAnsi="Arial" w:cs="Arial"/>
          <w:b/>
          <w:noProof/>
          <w:sz w:val="24"/>
          <w:szCs w:val="24"/>
        </w:rPr>
      </w:pPr>
      <w:r w:rsidRPr="00C53AC3">
        <w:rPr>
          <w:rFonts w:ascii="Arial" w:hAnsi="Arial" w:cs="Arial"/>
          <w:b/>
          <w:noProof/>
          <w:sz w:val="24"/>
          <w:szCs w:val="24"/>
        </w:rPr>
        <w:t>Supplemental Table 1. Oligos</w:t>
      </w:r>
      <w:r w:rsidRPr="00C53AC3">
        <w:rPr>
          <w:rFonts w:ascii="Arial" w:hAnsi="Arial" w:cs="Arial"/>
          <w:noProof/>
          <w:sz w:val="24"/>
          <w:szCs w:val="24"/>
        </w:rPr>
        <w:t>. Oligos listed were used in the excecution of this paper, 5’-</w:t>
      </w:r>
      <w:r w:rsidRPr="00C53AC3">
        <w:rPr>
          <w:rFonts w:ascii="Arial" w:hAnsi="Arial" w:cs="Arial"/>
          <w:noProof/>
          <w:sz w:val="24"/>
          <w:szCs w:val="24"/>
        </w:rPr>
        <w:sym w:font="Wingdings" w:char="F0E0"/>
      </w:r>
      <w:r w:rsidRPr="00C53AC3">
        <w:rPr>
          <w:rFonts w:ascii="Arial" w:hAnsi="Arial" w:cs="Arial"/>
          <w:noProof/>
          <w:sz w:val="24"/>
          <w:szCs w:val="24"/>
        </w:rPr>
        <w:t>3’.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1"/>
        <w:gridCol w:w="3826"/>
        <w:gridCol w:w="1293"/>
      </w:tblGrid>
      <w:tr w:rsidR="003F56A3" w:rsidRPr="00C53AC3" w14:paraId="46573072" w14:textId="77777777" w:rsidTr="00526609">
        <w:tc>
          <w:tcPr>
            <w:tcW w:w="2263" w:type="pct"/>
            <w:shd w:val="clear" w:color="auto" w:fill="auto"/>
            <w:vAlign w:val="bottom"/>
          </w:tcPr>
          <w:p w14:paraId="6B471B8F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Primers (5' -- 3')</w:t>
            </w:r>
          </w:p>
        </w:tc>
        <w:tc>
          <w:tcPr>
            <w:tcW w:w="2047" w:type="pct"/>
            <w:shd w:val="clear" w:color="auto" w:fill="auto"/>
            <w:vAlign w:val="bottom"/>
          </w:tcPr>
          <w:p w14:paraId="21F93B21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0" w:type="pct"/>
            <w:shd w:val="clear" w:color="auto" w:fill="auto"/>
            <w:vAlign w:val="bottom"/>
          </w:tcPr>
          <w:p w14:paraId="715E3654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56A3" w:rsidRPr="00C53AC3" w14:paraId="63850D4A" w14:textId="77777777" w:rsidTr="00526609">
        <w:tc>
          <w:tcPr>
            <w:tcW w:w="2263" w:type="pct"/>
            <w:shd w:val="clear" w:color="auto" w:fill="auto"/>
            <w:vAlign w:val="bottom"/>
          </w:tcPr>
          <w:p w14:paraId="19EA700A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Forward </w:t>
            </w:r>
          </w:p>
        </w:tc>
        <w:tc>
          <w:tcPr>
            <w:tcW w:w="2047" w:type="pct"/>
            <w:shd w:val="clear" w:color="auto" w:fill="auto"/>
            <w:vAlign w:val="bottom"/>
          </w:tcPr>
          <w:p w14:paraId="51D8F551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Reverse</w:t>
            </w:r>
          </w:p>
        </w:tc>
        <w:tc>
          <w:tcPr>
            <w:tcW w:w="690" w:type="pct"/>
            <w:shd w:val="clear" w:color="auto" w:fill="auto"/>
            <w:vAlign w:val="bottom"/>
          </w:tcPr>
          <w:p w14:paraId="0B47FB6C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Purpose</w:t>
            </w:r>
          </w:p>
        </w:tc>
      </w:tr>
      <w:tr w:rsidR="003F56A3" w:rsidRPr="00C53AC3" w14:paraId="04C67285" w14:textId="77777777" w:rsidTr="00526609">
        <w:tc>
          <w:tcPr>
            <w:tcW w:w="2263" w:type="pct"/>
            <w:shd w:val="clear" w:color="auto" w:fill="auto"/>
            <w:vAlign w:val="bottom"/>
          </w:tcPr>
          <w:p w14:paraId="025BAC6C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CGGAGCTGAACATCACGTTT</w:t>
            </w:r>
          </w:p>
        </w:tc>
        <w:tc>
          <w:tcPr>
            <w:tcW w:w="2047" w:type="pct"/>
            <w:shd w:val="clear" w:color="auto" w:fill="auto"/>
            <w:vAlign w:val="bottom"/>
          </w:tcPr>
          <w:p w14:paraId="11F26B3A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GTGGATTCTGTGCACGATGA</w:t>
            </w:r>
          </w:p>
        </w:tc>
        <w:tc>
          <w:tcPr>
            <w:tcW w:w="690" w:type="pct"/>
            <w:shd w:val="clear" w:color="auto" w:fill="auto"/>
            <w:vAlign w:val="bottom"/>
          </w:tcPr>
          <w:p w14:paraId="1C084832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i/>
                <w:color w:val="000000"/>
                <w:sz w:val="24"/>
                <w:szCs w:val="24"/>
              </w:rPr>
              <w:t>wnt4a</w:t>
            </w: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fluorescent in situ</w:t>
            </w:r>
          </w:p>
        </w:tc>
      </w:tr>
      <w:tr w:rsidR="003F56A3" w:rsidRPr="00C53AC3" w14:paraId="536BC818" w14:textId="77777777" w:rsidTr="00526609">
        <w:tc>
          <w:tcPr>
            <w:tcW w:w="2263" w:type="pct"/>
            <w:shd w:val="clear" w:color="auto" w:fill="auto"/>
            <w:vAlign w:val="bottom"/>
          </w:tcPr>
          <w:p w14:paraId="4C240F50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AGTGTTCCCCAAAAGCCTCT</w:t>
            </w:r>
          </w:p>
        </w:tc>
        <w:tc>
          <w:tcPr>
            <w:tcW w:w="2047" w:type="pct"/>
            <w:shd w:val="clear" w:color="auto" w:fill="auto"/>
            <w:vAlign w:val="bottom"/>
          </w:tcPr>
          <w:p w14:paraId="1E6C5658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GAGAAGCTGCGAGGACTCAT</w:t>
            </w:r>
          </w:p>
        </w:tc>
        <w:tc>
          <w:tcPr>
            <w:tcW w:w="690" w:type="pct"/>
            <w:shd w:val="clear" w:color="auto" w:fill="auto"/>
            <w:vAlign w:val="bottom"/>
          </w:tcPr>
          <w:p w14:paraId="3D391F1F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uc55 and uc56 PCR ID</w:t>
            </w:r>
          </w:p>
        </w:tc>
      </w:tr>
      <w:tr w:rsidR="003F56A3" w:rsidRPr="00C53AC3" w14:paraId="68E98971" w14:textId="77777777" w:rsidTr="00526609">
        <w:tc>
          <w:tcPr>
            <w:tcW w:w="2263" w:type="pct"/>
            <w:shd w:val="clear" w:color="auto" w:fill="auto"/>
            <w:vAlign w:val="bottom"/>
          </w:tcPr>
          <w:p w14:paraId="68E826C5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GCTGCAAGTTCCACTGGT</w:t>
            </w:r>
          </w:p>
        </w:tc>
        <w:tc>
          <w:tcPr>
            <w:tcW w:w="2047" w:type="pct"/>
            <w:shd w:val="clear" w:color="auto" w:fill="auto"/>
            <w:vAlign w:val="bottom"/>
          </w:tcPr>
          <w:p w14:paraId="2D243C8B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CTATGGGTGGGCGTGGTC</w:t>
            </w:r>
          </w:p>
        </w:tc>
        <w:tc>
          <w:tcPr>
            <w:tcW w:w="690" w:type="pct"/>
            <w:shd w:val="clear" w:color="auto" w:fill="auto"/>
            <w:vAlign w:val="bottom"/>
          </w:tcPr>
          <w:p w14:paraId="62336654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fh294 PCR ID</w:t>
            </w:r>
          </w:p>
        </w:tc>
      </w:tr>
      <w:tr w:rsidR="003F56A3" w:rsidRPr="00C53AC3" w14:paraId="0EA7969B" w14:textId="77777777" w:rsidTr="00526609">
        <w:tc>
          <w:tcPr>
            <w:tcW w:w="2263" w:type="pct"/>
            <w:shd w:val="clear" w:color="auto" w:fill="auto"/>
            <w:vAlign w:val="bottom"/>
          </w:tcPr>
          <w:p w14:paraId="624AA797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TCTGGAGGACTGTGTAAGAGGTATGC</w:t>
            </w:r>
          </w:p>
        </w:tc>
        <w:tc>
          <w:tcPr>
            <w:tcW w:w="2047" w:type="pct"/>
            <w:shd w:val="clear" w:color="auto" w:fill="auto"/>
            <w:vAlign w:val="bottom"/>
          </w:tcPr>
          <w:p w14:paraId="650C2924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AGACGCACAATCTTGAGAGCAG</w:t>
            </w:r>
          </w:p>
        </w:tc>
        <w:tc>
          <w:tcPr>
            <w:tcW w:w="690" w:type="pct"/>
            <w:shd w:val="clear" w:color="auto" w:fill="auto"/>
            <w:vAlign w:val="bottom"/>
          </w:tcPr>
          <w:p w14:paraId="1E932964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rpl13a RT </w:t>
            </w:r>
          </w:p>
        </w:tc>
      </w:tr>
      <w:tr w:rsidR="003F56A3" w:rsidRPr="00C53AC3" w14:paraId="73D7DDBB" w14:textId="77777777" w:rsidTr="00526609">
        <w:tc>
          <w:tcPr>
            <w:tcW w:w="2263" w:type="pct"/>
            <w:shd w:val="clear" w:color="auto" w:fill="auto"/>
            <w:vAlign w:val="bottom"/>
          </w:tcPr>
          <w:p w14:paraId="4E497167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TCTGAGTCCACACGTTTCCTG</w:t>
            </w:r>
          </w:p>
        </w:tc>
        <w:tc>
          <w:tcPr>
            <w:tcW w:w="2047" w:type="pct"/>
            <w:shd w:val="clear" w:color="auto" w:fill="auto"/>
            <w:vAlign w:val="bottom"/>
          </w:tcPr>
          <w:p w14:paraId="729065FD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TCTCATCCTGTGGAATTCTGTGAC</w:t>
            </w:r>
          </w:p>
        </w:tc>
        <w:tc>
          <w:tcPr>
            <w:tcW w:w="690" w:type="pct"/>
            <w:shd w:val="clear" w:color="auto" w:fill="auto"/>
            <w:vAlign w:val="bottom"/>
          </w:tcPr>
          <w:p w14:paraId="28A5987E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amh RT</w:t>
            </w:r>
          </w:p>
        </w:tc>
      </w:tr>
      <w:tr w:rsidR="003F56A3" w:rsidRPr="00C53AC3" w14:paraId="5DDD88E8" w14:textId="77777777" w:rsidTr="00526609">
        <w:tc>
          <w:tcPr>
            <w:tcW w:w="2263" w:type="pct"/>
            <w:shd w:val="clear" w:color="auto" w:fill="auto"/>
            <w:vAlign w:val="bottom"/>
          </w:tcPr>
          <w:p w14:paraId="3B624579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CAGCCAGCAAGTTCAGTGAG </w:t>
            </w:r>
          </w:p>
        </w:tc>
        <w:tc>
          <w:tcPr>
            <w:tcW w:w="2047" w:type="pct"/>
            <w:shd w:val="clear" w:color="auto" w:fill="auto"/>
            <w:vAlign w:val="bottom"/>
          </w:tcPr>
          <w:p w14:paraId="440FF438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CGCACTTTACTCAGGCCAAT</w:t>
            </w:r>
          </w:p>
        </w:tc>
        <w:tc>
          <w:tcPr>
            <w:tcW w:w="690" w:type="pct"/>
            <w:shd w:val="clear" w:color="auto" w:fill="auto"/>
            <w:vAlign w:val="bottom"/>
          </w:tcPr>
          <w:p w14:paraId="3318EA34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Vasa RT</w:t>
            </w:r>
          </w:p>
        </w:tc>
      </w:tr>
      <w:tr w:rsidR="003F56A3" w:rsidRPr="00C53AC3" w14:paraId="5F2FD581" w14:textId="77777777" w:rsidTr="00526609">
        <w:tc>
          <w:tcPr>
            <w:tcW w:w="2263" w:type="pct"/>
            <w:shd w:val="clear" w:color="auto" w:fill="auto"/>
            <w:vAlign w:val="bottom"/>
          </w:tcPr>
          <w:p w14:paraId="16DA1914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AGATGTCGAGTTAAAGATCCTGCA</w:t>
            </w:r>
          </w:p>
        </w:tc>
        <w:tc>
          <w:tcPr>
            <w:tcW w:w="2047" w:type="pct"/>
            <w:shd w:val="clear" w:color="auto" w:fill="auto"/>
            <w:vAlign w:val="bottom"/>
          </w:tcPr>
          <w:p w14:paraId="4800E437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CGACCGGGTGAAAACGTAGA</w:t>
            </w:r>
          </w:p>
        </w:tc>
        <w:tc>
          <w:tcPr>
            <w:tcW w:w="690" w:type="pct"/>
            <w:shd w:val="clear" w:color="auto" w:fill="auto"/>
            <w:vAlign w:val="bottom"/>
          </w:tcPr>
          <w:p w14:paraId="653FE48D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cyp19a1a RT</w:t>
            </w:r>
          </w:p>
        </w:tc>
      </w:tr>
      <w:tr w:rsidR="003F56A3" w:rsidRPr="00C53AC3" w14:paraId="36B4247F" w14:textId="77777777" w:rsidTr="00526609">
        <w:tc>
          <w:tcPr>
            <w:tcW w:w="2263" w:type="pct"/>
            <w:shd w:val="clear" w:color="auto" w:fill="auto"/>
            <w:vAlign w:val="bottom"/>
          </w:tcPr>
          <w:p w14:paraId="491E9F5D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GCTCTTTCTAGCGCTCTTCTC</w:t>
            </w:r>
          </w:p>
        </w:tc>
        <w:tc>
          <w:tcPr>
            <w:tcW w:w="2047" w:type="pct"/>
            <w:shd w:val="clear" w:color="auto" w:fill="auto"/>
            <w:vAlign w:val="bottom"/>
          </w:tcPr>
          <w:p w14:paraId="36D48309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GTCACTGCAAATGCTACGCT</w:t>
            </w:r>
          </w:p>
        </w:tc>
        <w:tc>
          <w:tcPr>
            <w:tcW w:w="690" w:type="pct"/>
            <w:shd w:val="clear" w:color="auto" w:fill="auto"/>
            <w:vAlign w:val="bottom"/>
          </w:tcPr>
          <w:p w14:paraId="11B3B85B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i/>
                <w:color w:val="000000"/>
                <w:sz w:val="24"/>
                <w:szCs w:val="24"/>
              </w:rPr>
              <w:t>wnt4a</w:t>
            </w: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RT-PCR</w:t>
            </w:r>
          </w:p>
        </w:tc>
      </w:tr>
      <w:tr w:rsidR="003F56A3" w:rsidRPr="00C53AC3" w14:paraId="3D96B040" w14:textId="77777777" w:rsidTr="00526609">
        <w:tc>
          <w:tcPr>
            <w:tcW w:w="2263" w:type="pct"/>
            <w:shd w:val="clear" w:color="auto" w:fill="auto"/>
            <w:vAlign w:val="bottom"/>
          </w:tcPr>
          <w:p w14:paraId="37E8E0C6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GTCAAGACCTGCTGGAAAGC</w:t>
            </w:r>
          </w:p>
        </w:tc>
        <w:tc>
          <w:tcPr>
            <w:tcW w:w="2047" w:type="pct"/>
            <w:shd w:val="clear" w:color="auto" w:fill="auto"/>
            <w:vAlign w:val="bottom"/>
          </w:tcPr>
          <w:p w14:paraId="7C03CE17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CTTGCGACACTGTTTGCATT</w:t>
            </w:r>
          </w:p>
        </w:tc>
        <w:tc>
          <w:tcPr>
            <w:tcW w:w="690" w:type="pct"/>
            <w:shd w:val="clear" w:color="auto" w:fill="auto"/>
            <w:vAlign w:val="bottom"/>
          </w:tcPr>
          <w:p w14:paraId="3906311B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fh294 PCR ID</w:t>
            </w:r>
          </w:p>
        </w:tc>
      </w:tr>
      <w:tr w:rsidR="003F56A3" w:rsidRPr="00C53AC3" w14:paraId="6DE20669" w14:textId="77777777" w:rsidTr="00526609">
        <w:tc>
          <w:tcPr>
            <w:tcW w:w="2263" w:type="pct"/>
            <w:shd w:val="clear" w:color="auto" w:fill="auto"/>
            <w:vAlign w:val="bottom"/>
          </w:tcPr>
          <w:p w14:paraId="58F4601D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GCTGCAAGTTCCACTGGT</w:t>
            </w:r>
          </w:p>
        </w:tc>
        <w:tc>
          <w:tcPr>
            <w:tcW w:w="2047" w:type="pct"/>
            <w:shd w:val="clear" w:color="auto" w:fill="auto"/>
            <w:vAlign w:val="bottom"/>
          </w:tcPr>
          <w:p w14:paraId="321822B6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CTATGGGTGGGCGTGGTC</w:t>
            </w:r>
          </w:p>
        </w:tc>
        <w:tc>
          <w:tcPr>
            <w:tcW w:w="690" w:type="pct"/>
            <w:shd w:val="clear" w:color="auto" w:fill="auto"/>
            <w:vAlign w:val="bottom"/>
          </w:tcPr>
          <w:p w14:paraId="62F8625A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fh295 HRMA ID</w:t>
            </w:r>
          </w:p>
        </w:tc>
      </w:tr>
      <w:tr w:rsidR="003F56A3" w:rsidRPr="00C53AC3" w14:paraId="57334913" w14:textId="77777777" w:rsidTr="00526609">
        <w:tc>
          <w:tcPr>
            <w:tcW w:w="2263" w:type="pct"/>
            <w:shd w:val="clear" w:color="auto" w:fill="auto"/>
            <w:vAlign w:val="bottom"/>
          </w:tcPr>
          <w:p w14:paraId="131CE3AE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CCGCAACCGCCGATGGAACT</w:t>
            </w:r>
          </w:p>
        </w:tc>
        <w:tc>
          <w:tcPr>
            <w:tcW w:w="2047" w:type="pct"/>
            <w:shd w:val="clear" w:color="auto" w:fill="auto"/>
            <w:vAlign w:val="bottom"/>
          </w:tcPr>
          <w:p w14:paraId="565755AA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ACCGGGCGTTCTGGGGTCAT</w:t>
            </w:r>
          </w:p>
        </w:tc>
        <w:tc>
          <w:tcPr>
            <w:tcW w:w="690" w:type="pct"/>
            <w:shd w:val="clear" w:color="auto" w:fill="auto"/>
            <w:vAlign w:val="bottom"/>
          </w:tcPr>
          <w:p w14:paraId="6F7E3139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i/>
                <w:color w:val="000000"/>
                <w:sz w:val="24"/>
                <w:szCs w:val="24"/>
              </w:rPr>
              <w:t>wnt4a</w:t>
            </w: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color in situ</w:t>
            </w:r>
          </w:p>
        </w:tc>
      </w:tr>
      <w:tr w:rsidR="003F56A3" w:rsidRPr="00C53AC3" w14:paraId="26239010" w14:textId="77777777" w:rsidTr="00526609">
        <w:tc>
          <w:tcPr>
            <w:tcW w:w="2263" w:type="pct"/>
            <w:shd w:val="clear" w:color="auto" w:fill="auto"/>
            <w:vAlign w:val="center"/>
          </w:tcPr>
          <w:p w14:paraId="658730FF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AAGGTCATGCCTCCATTCCG</w:t>
            </w:r>
          </w:p>
        </w:tc>
        <w:tc>
          <w:tcPr>
            <w:tcW w:w="2047" w:type="pct"/>
            <w:shd w:val="clear" w:color="auto" w:fill="auto"/>
            <w:vAlign w:val="center"/>
          </w:tcPr>
          <w:p w14:paraId="0E6F9157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AACCGCGAGGTTCCATTACA</w:t>
            </w:r>
          </w:p>
        </w:tc>
        <w:tc>
          <w:tcPr>
            <w:tcW w:w="690" w:type="pct"/>
            <w:shd w:val="clear" w:color="auto" w:fill="auto"/>
            <w:vAlign w:val="bottom"/>
          </w:tcPr>
          <w:p w14:paraId="69275CE4" w14:textId="77777777" w:rsidR="003F56A3" w:rsidRPr="00C53AC3" w:rsidRDefault="003F56A3" w:rsidP="00526609">
            <w:pPr>
              <w:pStyle w:val="ListParagraph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wnt4b RT-PCR</w:t>
            </w:r>
          </w:p>
        </w:tc>
      </w:tr>
    </w:tbl>
    <w:p w14:paraId="3D5A8B9B" w14:textId="77777777" w:rsidR="003F56A3" w:rsidRPr="00C53AC3" w:rsidRDefault="003F56A3" w:rsidP="003F56A3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Arial" w:eastAsia="Times New Roman" w:hAnsi="Arial" w:cs="Arial"/>
          <w:b/>
          <w:sz w:val="24"/>
          <w:szCs w:val="24"/>
        </w:rPr>
      </w:pPr>
    </w:p>
    <w:p w14:paraId="55AA9253" w14:textId="77777777" w:rsidR="003F56A3" w:rsidRPr="00C53AC3" w:rsidRDefault="003F56A3" w:rsidP="003F56A3">
      <w:pPr>
        <w:spacing w:line="480" w:lineRule="auto"/>
        <w:rPr>
          <w:rFonts w:ascii="Arial" w:hAnsi="Arial" w:cs="Arial"/>
          <w:sz w:val="24"/>
          <w:szCs w:val="24"/>
        </w:rPr>
      </w:pPr>
      <w:r w:rsidRPr="00C53AC3">
        <w:rPr>
          <w:rFonts w:ascii="Arial" w:hAnsi="Arial" w:cs="Arial"/>
          <w:b/>
          <w:sz w:val="24"/>
          <w:szCs w:val="24"/>
        </w:rPr>
        <w:lastRenderedPageBreak/>
        <w:t xml:space="preserve">Supplemental Table 2. Genotypic ratios of </w:t>
      </w:r>
      <w:r w:rsidRPr="00C53AC3">
        <w:rPr>
          <w:rFonts w:ascii="Arial" w:hAnsi="Arial" w:cs="Arial"/>
          <w:b/>
          <w:i/>
          <w:sz w:val="24"/>
          <w:szCs w:val="24"/>
        </w:rPr>
        <w:t>wnt4a</w:t>
      </w:r>
      <w:r w:rsidRPr="00C53AC3">
        <w:rPr>
          <w:rFonts w:ascii="Arial" w:hAnsi="Arial" w:cs="Arial"/>
          <w:b/>
          <w:sz w:val="24"/>
          <w:szCs w:val="24"/>
        </w:rPr>
        <w:t xml:space="preserve"> mutants were normal.</w:t>
      </w:r>
      <w:r w:rsidRPr="00C53AC3">
        <w:rPr>
          <w:rFonts w:ascii="Arial" w:hAnsi="Arial" w:cs="Arial"/>
          <w:sz w:val="24"/>
          <w:szCs w:val="24"/>
        </w:rPr>
        <w:t xml:space="preserve"> The ratio of wild-type : heterozygous : mutant was not significantly different from expected Mendelian ratios, 1:2:1, consistent with normal survival.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3"/>
        <w:gridCol w:w="1423"/>
        <w:gridCol w:w="1772"/>
        <w:gridCol w:w="1440"/>
        <w:gridCol w:w="1800"/>
        <w:gridCol w:w="1578"/>
      </w:tblGrid>
      <w:tr w:rsidR="003F56A3" w:rsidRPr="00C53AC3" w14:paraId="73AD6B50" w14:textId="77777777" w:rsidTr="00526609">
        <w:trPr>
          <w:trHeight w:val="712"/>
          <w:jc w:val="center"/>
        </w:trPr>
        <w:tc>
          <w:tcPr>
            <w:tcW w:w="1083" w:type="dxa"/>
            <w:shd w:val="clear" w:color="auto" w:fill="auto"/>
            <w:vAlign w:val="center"/>
          </w:tcPr>
          <w:p w14:paraId="0BBC4BE7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14:paraId="51B896E9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Number of Wild-types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3182591D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Number of Heterozygotes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0A179A9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Number of Mutants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DC53736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Resulting Ratio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11E40556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Chi-square test</w:t>
            </w:r>
          </w:p>
        </w:tc>
      </w:tr>
      <w:tr w:rsidR="003F56A3" w:rsidRPr="00C53AC3" w14:paraId="51E8699F" w14:textId="77777777" w:rsidTr="00526609">
        <w:trPr>
          <w:trHeight w:val="440"/>
          <w:jc w:val="center"/>
        </w:trPr>
        <w:tc>
          <w:tcPr>
            <w:tcW w:w="1083" w:type="dxa"/>
            <w:shd w:val="clear" w:color="auto" w:fill="auto"/>
            <w:vAlign w:val="center"/>
          </w:tcPr>
          <w:p w14:paraId="5EFAC94E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b/>
                <w:sz w:val="24"/>
                <w:szCs w:val="24"/>
              </w:rPr>
              <w:t>fh295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5609AF3E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56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4C94CBAB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124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356396A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51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DE54644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1 : 2.21 : 0.91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7FC55F5D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P = 0.48</w:t>
            </w:r>
          </w:p>
        </w:tc>
      </w:tr>
      <w:tr w:rsidR="003F56A3" w:rsidRPr="00C53AC3" w14:paraId="207FC03C" w14:textId="77777777" w:rsidTr="00526609">
        <w:trPr>
          <w:trHeight w:val="440"/>
          <w:jc w:val="center"/>
        </w:trPr>
        <w:tc>
          <w:tcPr>
            <w:tcW w:w="1083" w:type="dxa"/>
            <w:shd w:val="clear" w:color="auto" w:fill="auto"/>
            <w:vAlign w:val="center"/>
          </w:tcPr>
          <w:p w14:paraId="5C28D5E5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b/>
                <w:sz w:val="24"/>
                <w:szCs w:val="24"/>
              </w:rPr>
              <w:t>fh295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5A2A9EE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162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6C5DCCFA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307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58D7187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143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E4938A8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1 : 1.90 : 0.88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5A0F8575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P = 0.55</w:t>
            </w:r>
          </w:p>
        </w:tc>
      </w:tr>
      <w:tr w:rsidR="003F56A3" w:rsidRPr="00C53AC3" w14:paraId="1F4A3A67" w14:textId="77777777" w:rsidTr="00526609">
        <w:trPr>
          <w:trHeight w:val="449"/>
          <w:jc w:val="center"/>
        </w:trPr>
        <w:tc>
          <w:tcPr>
            <w:tcW w:w="1083" w:type="dxa"/>
            <w:shd w:val="clear" w:color="auto" w:fill="auto"/>
            <w:vAlign w:val="center"/>
          </w:tcPr>
          <w:p w14:paraId="5FFE7265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b/>
                <w:sz w:val="24"/>
                <w:szCs w:val="24"/>
              </w:rPr>
              <w:t>uc55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F777A29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103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65965F31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202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4CED502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119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DCE9162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1 :1.96 : 1.16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18AC2669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P = 0.34</w:t>
            </w:r>
          </w:p>
        </w:tc>
      </w:tr>
      <w:tr w:rsidR="003F56A3" w:rsidRPr="00C53AC3" w14:paraId="0C2AEF7F" w14:textId="77777777" w:rsidTr="00526609">
        <w:trPr>
          <w:trHeight w:val="260"/>
          <w:jc w:val="center"/>
        </w:trPr>
        <w:tc>
          <w:tcPr>
            <w:tcW w:w="1083" w:type="dxa"/>
            <w:shd w:val="clear" w:color="auto" w:fill="auto"/>
            <w:vAlign w:val="center"/>
          </w:tcPr>
          <w:p w14:paraId="7DAF33FE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b/>
                <w:sz w:val="24"/>
                <w:szCs w:val="24"/>
              </w:rPr>
              <w:t>uc56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456A886A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109</w:t>
            </w:r>
          </w:p>
        </w:tc>
        <w:tc>
          <w:tcPr>
            <w:tcW w:w="1772" w:type="dxa"/>
            <w:shd w:val="clear" w:color="auto" w:fill="auto"/>
            <w:vAlign w:val="center"/>
          </w:tcPr>
          <w:p w14:paraId="23002F23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208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91D2961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79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EC95C02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1 : 1.91 : 0.72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1DDB968A" w14:textId="77777777" w:rsidR="003F56A3" w:rsidRPr="00C53AC3" w:rsidRDefault="003F56A3" w:rsidP="0052660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53AC3">
              <w:rPr>
                <w:rFonts w:ascii="Arial" w:eastAsia="Times New Roman" w:hAnsi="Arial" w:cs="Arial"/>
                <w:sz w:val="24"/>
                <w:szCs w:val="24"/>
              </w:rPr>
              <w:t>P = 0.06</w:t>
            </w:r>
          </w:p>
        </w:tc>
      </w:tr>
    </w:tbl>
    <w:p w14:paraId="663299ED" w14:textId="77777777" w:rsidR="003F56A3" w:rsidRPr="00C53AC3" w:rsidRDefault="003F56A3" w:rsidP="003F56A3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Arial" w:eastAsia="Times New Roman" w:hAnsi="Arial" w:cs="Arial"/>
          <w:b/>
          <w:sz w:val="24"/>
          <w:szCs w:val="24"/>
        </w:rPr>
      </w:pPr>
    </w:p>
    <w:p w14:paraId="3E47FB2E" w14:textId="77777777" w:rsidR="003F56A3" w:rsidRPr="00C53AC3" w:rsidRDefault="003F56A3" w:rsidP="003F56A3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Arial" w:eastAsia="Times New Roman" w:hAnsi="Arial" w:cs="Arial"/>
          <w:b/>
          <w:sz w:val="24"/>
          <w:szCs w:val="24"/>
        </w:rPr>
      </w:pPr>
    </w:p>
    <w:p w14:paraId="6A7BE4A2" w14:textId="77777777" w:rsidR="002523EE" w:rsidRDefault="003F56A3" w:rsidP="003F56A3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Arial" w:eastAsia="Times New Roman" w:hAnsi="Arial" w:cs="Arial"/>
          <w:sz w:val="24"/>
          <w:szCs w:val="24"/>
        </w:rPr>
      </w:pPr>
      <w:r w:rsidRPr="00CA4FF1">
        <w:rPr>
          <w:rFonts w:ascii="Arial" w:eastAsia="Times New Roman" w:hAnsi="Arial" w:cs="Arial"/>
          <w:sz w:val="24"/>
          <w:szCs w:val="24"/>
        </w:rPr>
        <w:t>SUPPLEMETNAL FIGURE LEGENDS</w:t>
      </w:r>
    </w:p>
    <w:p w14:paraId="2DFEFB49" w14:textId="77777777" w:rsidR="003F56A3" w:rsidRPr="00CA4FF1" w:rsidRDefault="002523EE" w:rsidP="003F56A3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02DC6E59" wp14:editId="5D820AE5">
            <wp:extent cx="5943600" cy="3175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 Fig 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F098" w14:textId="77777777" w:rsidR="002523EE" w:rsidRDefault="003F56A3" w:rsidP="003F56A3">
      <w:pPr>
        <w:spacing w:line="480" w:lineRule="auto"/>
        <w:rPr>
          <w:rFonts w:ascii="Arial" w:hAnsi="Arial" w:cs="Arial"/>
          <w:sz w:val="24"/>
          <w:szCs w:val="24"/>
        </w:rPr>
      </w:pPr>
      <w:r w:rsidRPr="00C53AC3">
        <w:rPr>
          <w:rFonts w:ascii="Arial" w:hAnsi="Arial" w:cs="Arial"/>
          <w:b/>
          <w:sz w:val="24"/>
          <w:szCs w:val="24"/>
        </w:rPr>
        <w:t xml:space="preserve">Supplemental Figure 1. In zebrafish gonads, </w:t>
      </w:r>
      <w:r w:rsidRPr="00C53AC3">
        <w:rPr>
          <w:rFonts w:ascii="Arial" w:hAnsi="Arial" w:cs="Arial"/>
          <w:b/>
          <w:i/>
          <w:sz w:val="24"/>
          <w:szCs w:val="24"/>
        </w:rPr>
        <w:t xml:space="preserve">wnt4a </w:t>
      </w:r>
      <w:r w:rsidRPr="00C53AC3">
        <w:rPr>
          <w:rFonts w:ascii="Arial" w:hAnsi="Arial" w:cs="Arial"/>
          <w:b/>
          <w:sz w:val="24"/>
          <w:szCs w:val="24"/>
        </w:rPr>
        <w:t xml:space="preserve">expression is female specific. </w:t>
      </w:r>
      <w:r w:rsidRPr="00C53AC3">
        <w:rPr>
          <w:rFonts w:ascii="Arial" w:hAnsi="Arial" w:cs="Arial"/>
          <w:sz w:val="24"/>
          <w:szCs w:val="24"/>
        </w:rPr>
        <w:t xml:space="preserve">RT-PCR analysis of gene expression in adult (90dpf) (A) and juvenile (30dpf) (B) </w:t>
      </w:r>
      <w:r w:rsidRPr="00C53AC3">
        <w:rPr>
          <w:rFonts w:ascii="Arial" w:hAnsi="Arial" w:cs="Arial"/>
          <w:sz w:val="24"/>
          <w:szCs w:val="24"/>
        </w:rPr>
        <w:lastRenderedPageBreak/>
        <w:t xml:space="preserve">gonads. The germ cell-specific gene </w:t>
      </w:r>
      <w:r w:rsidRPr="00C53AC3">
        <w:rPr>
          <w:rFonts w:ascii="Arial" w:hAnsi="Arial" w:cs="Arial"/>
          <w:i/>
          <w:sz w:val="24"/>
          <w:szCs w:val="24"/>
        </w:rPr>
        <w:t>vasa</w:t>
      </w:r>
      <w:r w:rsidRPr="00C53AC3">
        <w:rPr>
          <w:rFonts w:ascii="Arial" w:hAnsi="Arial" w:cs="Arial"/>
          <w:sz w:val="24"/>
          <w:szCs w:val="24"/>
        </w:rPr>
        <w:t xml:space="preserve"> was detected in both ovaries and testes. The female-specific gene </w:t>
      </w:r>
      <w:r w:rsidRPr="00C53AC3">
        <w:rPr>
          <w:rFonts w:ascii="Arial" w:hAnsi="Arial" w:cs="Arial"/>
          <w:i/>
          <w:sz w:val="24"/>
          <w:szCs w:val="24"/>
        </w:rPr>
        <w:t>cyp19a1a</w:t>
      </w:r>
      <w:r w:rsidRPr="00C53AC3">
        <w:rPr>
          <w:rFonts w:ascii="Arial" w:hAnsi="Arial" w:cs="Arial"/>
          <w:sz w:val="24"/>
          <w:szCs w:val="24"/>
        </w:rPr>
        <w:t xml:space="preserve"> was detected in only ovaries while the male-enriched gene </w:t>
      </w:r>
      <w:r w:rsidRPr="00C53AC3">
        <w:rPr>
          <w:rFonts w:ascii="Arial" w:hAnsi="Arial" w:cs="Arial"/>
          <w:i/>
          <w:sz w:val="24"/>
          <w:szCs w:val="24"/>
        </w:rPr>
        <w:t>amh</w:t>
      </w:r>
      <w:r w:rsidRPr="00C53AC3">
        <w:rPr>
          <w:rFonts w:ascii="Arial" w:hAnsi="Arial" w:cs="Arial"/>
          <w:sz w:val="24"/>
          <w:szCs w:val="24"/>
        </w:rPr>
        <w:t xml:space="preserve"> was detected at slightly higher levels in testes compared to ovaries. Expression of </w:t>
      </w:r>
      <w:r w:rsidRPr="00C53AC3">
        <w:rPr>
          <w:rFonts w:ascii="Arial" w:hAnsi="Arial" w:cs="Arial"/>
          <w:i/>
          <w:sz w:val="24"/>
          <w:szCs w:val="24"/>
        </w:rPr>
        <w:t>wnt4a</w:t>
      </w:r>
      <w:r w:rsidRPr="00C53AC3">
        <w:rPr>
          <w:rFonts w:ascii="Arial" w:hAnsi="Arial" w:cs="Arial"/>
          <w:sz w:val="24"/>
          <w:szCs w:val="24"/>
        </w:rPr>
        <w:t xml:space="preserve"> was only detected in ovaries, while </w:t>
      </w:r>
      <w:r w:rsidRPr="00C53AC3">
        <w:rPr>
          <w:rFonts w:ascii="Arial" w:hAnsi="Arial" w:cs="Arial"/>
          <w:i/>
          <w:sz w:val="24"/>
          <w:szCs w:val="24"/>
        </w:rPr>
        <w:t>wnt4b</w:t>
      </w:r>
      <w:r w:rsidRPr="00C53AC3">
        <w:rPr>
          <w:rFonts w:ascii="Arial" w:hAnsi="Arial" w:cs="Arial"/>
          <w:sz w:val="24"/>
          <w:szCs w:val="24"/>
        </w:rPr>
        <w:t xml:space="preserve"> transcript appeared faintly in the testies. The ribosomal protein gene </w:t>
      </w:r>
      <w:r w:rsidRPr="00C53AC3">
        <w:rPr>
          <w:rFonts w:ascii="Arial" w:hAnsi="Arial" w:cs="Arial"/>
          <w:i/>
          <w:sz w:val="24"/>
          <w:szCs w:val="24"/>
        </w:rPr>
        <w:t>rpl13a</w:t>
      </w:r>
      <w:r w:rsidRPr="00C53AC3">
        <w:rPr>
          <w:rFonts w:ascii="Arial" w:hAnsi="Arial" w:cs="Arial"/>
          <w:sz w:val="24"/>
          <w:szCs w:val="24"/>
        </w:rPr>
        <w:t xml:space="preserve"> is ubiquitously expressed used here as loading control. NRT, no reverse transcriptase control.</w:t>
      </w:r>
    </w:p>
    <w:p w14:paraId="1AECBF3A" w14:textId="77777777" w:rsidR="002523EE" w:rsidRDefault="002523EE" w:rsidP="003F56A3">
      <w:pPr>
        <w:spacing w:line="480" w:lineRule="auto"/>
        <w:rPr>
          <w:rFonts w:ascii="Arial" w:hAnsi="Arial" w:cs="Arial"/>
          <w:sz w:val="24"/>
          <w:szCs w:val="24"/>
        </w:rPr>
      </w:pPr>
    </w:p>
    <w:p w14:paraId="0770DCE8" w14:textId="77777777" w:rsidR="003F56A3" w:rsidRPr="002523EE" w:rsidRDefault="002523EE" w:rsidP="002523EE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E8E6BB" wp14:editId="61E88838">
            <wp:extent cx="5943600" cy="3430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 Fig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752AD" w14:textId="77777777" w:rsidR="003F56A3" w:rsidRDefault="003F56A3" w:rsidP="003F56A3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sz w:val="24"/>
          <w:szCs w:val="24"/>
        </w:rPr>
      </w:pPr>
      <w:r w:rsidRPr="00C53AC3">
        <w:rPr>
          <w:rFonts w:ascii="Arial" w:hAnsi="Arial" w:cs="Arial"/>
          <w:b/>
          <w:sz w:val="24"/>
          <w:szCs w:val="24"/>
        </w:rPr>
        <w:t xml:space="preserve">Supplemental Figure 2. </w:t>
      </w:r>
      <w:r w:rsidRPr="00C53AC3">
        <w:rPr>
          <w:rFonts w:ascii="Arial" w:hAnsi="Arial" w:cs="Arial"/>
          <w:b/>
          <w:i/>
          <w:sz w:val="24"/>
          <w:szCs w:val="24"/>
        </w:rPr>
        <w:t xml:space="preserve">wnt4a </w:t>
      </w:r>
      <w:r w:rsidRPr="00C53AC3">
        <w:rPr>
          <w:rFonts w:ascii="Arial" w:hAnsi="Arial" w:cs="Arial"/>
          <w:b/>
          <w:sz w:val="24"/>
          <w:szCs w:val="24"/>
        </w:rPr>
        <w:t xml:space="preserve">is expressed in somatic cells that surround stage </w:t>
      </w:r>
      <w:r>
        <w:rPr>
          <w:rFonts w:ascii="Arial" w:hAnsi="Arial" w:cs="Arial"/>
          <w:b/>
          <w:sz w:val="24"/>
          <w:szCs w:val="24"/>
        </w:rPr>
        <w:t>IB</w:t>
      </w:r>
      <w:r w:rsidRPr="00C53AC3">
        <w:rPr>
          <w:rFonts w:ascii="Arial" w:hAnsi="Arial" w:cs="Arial"/>
          <w:b/>
          <w:sz w:val="24"/>
          <w:szCs w:val="24"/>
        </w:rPr>
        <w:t xml:space="preserve"> oocytes in 23dpf female zebrafish.</w:t>
      </w:r>
      <w:r w:rsidRPr="00C53AC3">
        <w:rPr>
          <w:rFonts w:ascii="Arial" w:hAnsi="Arial" w:cs="Arial"/>
          <w:sz w:val="24"/>
          <w:szCs w:val="24"/>
        </w:rPr>
        <w:t xml:space="preserve"> A. Confocal micrographs showing </w:t>
      </w:r>
      <w:r w:rsidRPr="00C53AC3">
        <w:rPr>
          <w:rFonts w:ascii="Arial" w:hAnsi="Arial" w:cs="Arial"/>
          <w:i/>
          <w:sz w:val="24"/>
          <w:szCs w:val="24"/>
        </w:rPr>
        <w:t>wnt4a</w:t>
      </w:r>
      <w:r w:rsidRPr="00C53AC3">
        <w:rPr>
          <w:rFonts w:ascii="Arial" w:hAnsi="Arial" w:cs="Arial"/>
          <w:sz w:val="24"/>
          <w:szCs w:val="24"/>
        </w:rPr>
        <w:t xml:space="preserve"> RNA-expressing somatic gonadal cells (red) are closely associated with Vasa-expressing (green) oocytes. Wnt4a does not appear to be expressed in theca cells, which express Tg(</w:t>
      </w:r>
      <w:r w:rsidRPr="00C53AC3">
        <w:rPr>
          <w:rFonts w:ascii="Arial" w:hAnsi="Arial" w:cs="Arial"/>
          <w:i/>
          <w:sz w:val="24"/>
          <w:szCs w:val="24"/>
        </w:rPr>
        <w:t>cyp19a1a:egfp</w:t>
      </w:r>
      <w:r w:rsidRPr="00C53AC3">
        <w:rPr>
          <w:rFonts w:ascii="Arial" w:hAnsi="Arial" w:cs="Arial"/>
          <w:sz w:val="24"/>
          <w:szCs w:val="24"/>
        </w:rPr>
        <w:t xml:space="preserve">) (white, n=3). Red staining that overlaps with white was consistent </w:t>
      </w:r>
      <w:r w:rsidRPr="00C53AC3">
        <w:rPr>
          <w:rFonts w:ascii="Arial" w:hAnsi="Arial" w:cs="Arial"/>
          <w:sz w:val="24"/>
          <w:szCs w:val="24"/>
        </w:rPr>
        <w:lastRenderedPageBreak/>
        <w:t xml:space="preserve">with the background staining see throughout the tissue. B. In a simplified magnified view outlined in A, </w:t>
      </w:r>
      <w:r w:rsidRPr="00C53AC3">
        <w:rPr>
          <w:rFonts w:ascii="Arial" w:hAnsi="Arial" w:cs="Arial"/>
          <w:i/>
          <w:sz w:val="24"/>
          <w:szCs w:val="24"/>
        </w:rPr>
        <w:t>wnt4a</w:t>
      </w:r>
      <w:r w:rsidRPr="00C53AC3">
        <w:rPr>
          <w:rFonts w:ascii="Arial" w:hAnsi="Arial" w:cs="Arial"/>
          <w:sz w:val="24"/>
          <w:szCs w:val="24"/>
        </w:rPr>
        <w:t xml:space="preserve"> localizes to the somatic cells adjacent to an oocyte with a diameter of 23µm. Expression of </w:t>
      </w:r>
      <w:r w:rsidRPr="00C53AC3">
        <w:rPr>
          <w:rFonts w:ascii="Arial" w:hAnsi="Arial" w:cs="Arial"/>
          <w:i/>
          <w:sz w:val="24"/>
          <w:szCs w:val="24"/>
        </w:rPr>
        <w:t>wnt4a</w:t>
      </w:r>
      <w:r w:rsidRPr="00C53AC3">
        <w:rPr>
          <w:rFonts w:ascii="Arial" w:hAnsi="Arial" w:cs="Arial"/>
          <w:sz w:val="24"/>
          <w:szCs w:val="24"/>
        </w:rPr>
        <w:t xml:space="preserve"> is found consistently in somatic cells of stage </w:t>
      </w:r>
      <w:r>
        <w:rPr>
          <w:rFonts w:ascii="Arial" w:hAnsi="Arial" w:cs="Arial"/>
          <w:sz w:val="24"/>
          <w:szCs w:val="24"/>
        </w:rPr>
        <w:t>IB</w:t>
      </w:r>
      <w:r w:rsidRPr="00C53AC3">
        <w:rPr>
          <w:rFonts w:ascii="Arial" w:hAnsi="Arial" w:cs="Arial"/>
          <w:sz w:val="24"/>
          <w:szCs w:val="24"/>
        </w:rPr>
        <w:t xml:space="preserve"> oocytes that are &gt;20µm in diameter. Nuclei are stained blue. Scale bar in A, 10µm).</w:t>
      </w:r>
    </w:p>
    <w:p w14:paraId="528B78A2" w14:textId="77777777" w:rsidR="002523EE" w:rsidRPr="00C53AC3" w:rsidRDefault="002523EE" w:rsidP="003F56A3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sz w:val="24"/>
          <w:szCs w:val="24"/>
        </w:rPr>
      </w:pPr>
    </w:p>
    <w:p w14:paraId="4B9FCB1F" w14:textId="77777777" w:rsidR="003F56A3" w:rsidRPr="00C53AC3" w:rsidRDefault="002523EE" w:rsidP="003F56A3">
      <w:pPr>
        <w:widowControl w:val="0"/>
        <w:autoSpaceDE w:val="0"/>
        <w:autoSpaceDN w:val="0"/>
        <w:adjustRightInd w:val="0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0BEC8F3" wp14:editId="222FEEBE">
            <wp:extent cx="5943600" cy="943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 Fig 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05028" w14:textId="77777777" w:rsidR="003F56A3" w:rsidRDefault="003F56A3" w:rsidP="003F56A3">
      <w:pPr>
        <w:spacing w:line="480" w:lineRule="auto"/>
        <w:rPr>
          <w:rFonts w:ascii="Arial" w:hAnsi="Arial" w:cs="Arial"/>
          <w:sz w:val="24"/>
          <w:szCs w:val="24"/>
        </w:rPr>
      </w:pPr>
      <w:r w:rsidRPr="00C53AC3">
        <w:rPr>
          <w:rFonts w:ascii="Arial" w:hAnsi="Arial" w:cs="Arial"/>
          <w:b/>
          <w:sz w:val="24"/>
          <w:szCs w:val="24"/>
        </w:rPr>
        <w:t>Supplemental Figure 3. CRISPR</w:t>
      </w:r>
      <w:r>
        <w:rPr>
          <w:rFonts w:ascii="Arial" w:hAnsi="Arial" w:cs="Arial"/>
          <w:b/>
          <w:sz w:val="24"/>
          <w:szCs w:val="24"/>
        </w:rPr>
        <w:t>/Cas9</w:t>
      </w:r>
      <w:r w:rsidRPr="00C53AC3">
        <w:rPr>
          <w:rFonts w:ascii="Arial" w:hAnsi="Arial" w:cs="Arial"/>
          <w:b/>
          <w:sz w:val="24"/>
          <w:szCs w:val="24"/>
        </w:rPr>
        <w:t xml:space="preserve"> mutant allele generation</w:t>
      </w:r>
      <w:r w:rsidRPr="00C53AC3">
        <w:rPr>
          <w:rFonts w:ascii="Arial" w:hAnsi="Arial" w:cs="Arial"/>
          <w:sz w:val="24"/>
          <w:szCs w:val="24"/>
        </w:rPr>
        <w:t xml:space="preserve">. </w:t>
      </w:r>
      <w:r w:rsidRPr="00C53AC3">
        <w:rPr>
          <w:rFonts w:ascii="Arial" w:hAnsi="Arial" w:cs="Arial"/>
          <w:i/>
          <w:sz w:val="24"/>
          <w:szCs w:val="24"/>
        </w:rPr>
        <w:t>wnt4a(uc55)</w:t>
      </w:r>
      <w:r w:rsidRPr="00C53AC3">
        <w:rPr>
          <w:rFonts w:ascii="Arial" w:hAnsi="Arial" w:cs="Arial"/>
          <w:sz w:val="24"/>
          <w:szCs w:val="24"/>
        </w:rPr>
        <w:t xml:space="preserve"> and </w:t>
      </w:r>
      <w:r w:rsidRPr="00C53AC3">
        <w:rPr>
          <w:rFonts w:ascii="Arial" w:hAnsi="Arial" w:cs="Arial"/>
          <w:i/>
          <w:sz w:val="24"/>
          <w:szCs w:val="24"/>
        </w:rPr>
        <w:t>wnt4a(uc56)</w:t>
      </w:r>
      <w:r w:rsidRPr="00C53AC3">
        <w:rPr>
          <w:rFonts w:ascii="Arial" w:hAnsi="Arial" w:cs="Arial"/>
          <w:sz w:val="24"/>
          <w:szCs w:val="24"/>
        </w:rPr>
        <w:t xml:space="preserve"> were both generated by targeting the highlighted sequence (red) of Exon two. Mutagenesis resulted in 17bp (uc55) or 23bp (uc56) insertions (bold), PAM sequence (underlined).</w:t>
      </w:r>
    </w:p>
    <w:p w14:paraId="5A4FFDF3" w14:textId="77777777" w:rsidR="002523EE" w:rsidRPr="00C53AC3" w:rsidRDefault="002523EE" w:rsidP="003F56A3">
      <w:pPr>
        <w:spacing w:line="480" w:lineRule="auto"/>
        <w:rPr>
          <w:rFonts w:ascii="Arial" w:hAnsi="Arial" w:cs="Arial"/>
          <w:sz w:val="24"/>
          <w:szCs w:val="24"/>
        </w:rPr>
      </w:pPr>
    </w:p>
    <w:p w14:paraId="49CE30F0" w14:textId="77777777" w:rsidR="003F56A3" w:rsidRPr="00C53AC3" w:rsidRDefault="002523EE" w:rsidP="003F56A3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3E6A80C" wp14:editId="62C9909A">
            <wp:extent cx="5943600" cy="45459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 Fig 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842FA" w14:textId="77777777" w:rsidR="003F56A3" w:rsidRDefault="003F56A3" w:rsidP="003F56A3">
      <w:pPr>
        <w:spacing w:line="480" w:lineRule="auto"/>
        <w:rPr>
          <w:rFonts w:ascii="Arial" w:hAnsi="Arial" w:cs="Arial"/>
          <w:sz w:val="24"/>
          <w:szCs w:val="24"/>
        </w:rPr>
      </w:pPr>
      <w:r w:rsidRPr="00C53AC3">
        <w:rPr>
          <w:rFonts w:ascii="Arial" w:hAnsi="Arial" w:cs="Arial"/>
          <w:b/>
          <w:sz w:val="24"/>
          <w:szCs w:val="24"/>
        </w:rPr>
        <w:t xml:space="preserve">Supplemental Figure 4. </w:t>
      </w:r>
      <w:r w:rsidRPr="00C53AC3">
        <w:rPr>
          <w:rFonts w:ascii="Arial" w:hAnsi="Arial" w:cs="Arial"/>
          <w:b/>
          <w:i/>
          <w:sz w:val="24"/>
          <w:szCs w:val="24"/>
        </w:rPr>
        <w:t>wnt4a</w:t>
      </w:r>
      <w:r w:rsidRPr="00C53AC3">
        <w:rPr>
          <w:rFonts w:ascii="Arial" w:hAnsi="Arial" w:cs="Arial"/>
          <w:b/>
          <w:sz w:val="24"/>
          <w:szCs w:val="24"/>
        </w:rPr>
        <w:t xml:space="preserve"> mutant fish have normal secondary sexual characteristics.</w:t>
      </w:r>
      <w:r w:rsidRPr="00C53AC3">
        <w:rPr>
          <w:rFonts w:ascii="Arial" w:hAnsi="Arial" w:cs="Arial"/>
          <w:sz w:val="24"/>
          <w:szCs w:val="24"/>
        </w:rPr>
        <w:t xml:space="preserve"> Light micrograph pictures showing that the pigment patterns and body shapes of </w:t>
      </w:r>
      <w:r w:rsidRPr="00C53AC3">
        <w:rPr>
          <w:rFonts w:ascii="Arial" w:hAnsi="Arial" w:cs="Arial"/>
          <w:i/>
          <w:sz w:val="24"/>
          <w:szCs w:val="24"/>
        </w:rPr>
        <w:t xml:space="preserve">wnt4a(uc55) </w:t>
      </w:r>
      <w:r w:rsidRPr="00C53AC3">
        <w:rPr>
          <w:rFonts w:ascii="Arial" w:hAnsi="Arial" w:cs="Arial"/>
          <w:sz w:val="24"/>
          <w:szCs w:val="24"/>
        </w:rPr>
        <w:t xml:space="preserve">mutant females and males (B-B’” and D-D’”, respectively) are indistinguishable from their wild-type female and male siblings (A-A’” and C-C’”, respectively). Panels A-D compare of body shapes. B’-D’ and B”-D” are low and high magnification views, respectively, of anal fin pigmentation. Note that males have more yellow pigmentation than females. A’”-D’” show high magnification views of the genital orifice. Note that the genital orifice of females protrudes from the ventral body wall, while those of male do not (black arrow). </w:t>
      </w:r>
    </w:p>
    <w:p w14:paraId="376E37DA" w14:textId="77777777" w:rsidR="002523EE" w:rsidRPr="00C53AC3" w:rsidRDefault="002523EE" w:rsidP="003F56A3">
      <w:pPr>
        <w:spacing w:line="480" w:lineRule="auto"/>
        <w:rPr>
          <w:rFonts w:ascii="Arial" w:hAnsi="Arial" w:cs="Arial"/>
          <w:sz w:val="24"/>
          <w:szCs w:val="24"/>
        </w:rPr>
      </w:pPr>
    </w:p>
    <w:p w14:paraId="1A618788" w14:textId="77777777" w:rsidR="003F56A3" w:rsidRPr="00C53AC3" w:rsidRDefault="002523EE" w:rsidP="003F56A3">
      <w:pPr>
        <w:widowControl w:val="0"/>
        <w:autoSpaceDE w:val="0"/>
        <w:autoSpaceDN w:val="0"/>
        <w:adjustRightInd w:val="0"/>
        <w:spacing w:line="48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w:drawing>
          <wp:inline distT="0" distB="0" distL="0" distR="0" wp14:anchorId="69BD3F48" wp14:editId="1C31971B">
            <wp:extent cx="5943600" cy="45859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 Fig 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91E03" w14:textId="77777777" w:rsidR="003F56A3" w:rsidRPr="00C53AC3" w:rsidRDefault="003F56A3" w:rsidP="003F56A3">
      <w:pPr>
        <w:spacing w:line="480" w:lineRule="auto"/>
        <w:rPr>
          <w:rFonts w:ascii="Arial" w:hAnsi="Arial" w:cs="Arial"/>
          <w:sz w:val="24"/>
          <w:szCs w:val="24"/>
        </w:rPr>
      </w:pPr>
      <w:r w:rsidRPr="00C53AC3">
        <w:rPr>
          <w:rFonts w:ascii="Arial" w:hAnsi="Arial" w:cs="Arial"/>
          <w:b/>
          <w:sz w:val="24"/>
          <w:szCs w:val="24"/>
        </w:rPr>
        <w:t xml:space="preserve">Supplemental Figure 5. </w:t>
      </w:r>
      <w:r w:rsidRPr="00C53AC3">
        <w:rPr>
          <w:rFonts w:ascii="Arial" w:hAnsi="Arial" w:cs="Arial"/>
          <w:b/>
          <w:i/>
          <w:sz w:val="24"/>
          <w:szCs w:val="24"/>
        </w:rPr>
        <w:t xml:space="preserve">wnt4a </w:t>
      </w:r>
      <w:r w:rsidRPr="00C53AC3">
        <w:rPr>
          <w:rFonts w:ascii="Arial" w:hAnsi="Arial" w:cs="Arial"/>
          <w:b/>
          <w:sz w:val="24"/>
          <w:szCs w:val="24"/>
        </w:rPr>
        <w:t xml:space="preserve">mutant zebrafish have normal mature gonads. </w:t>
      </w:r>
      <w:r w:rsidRPr="00C53AC3">
        <w:rPr>
          <w:rFonts w:ascii="Arial" w:hAnsi="Arial" w:cs="Arial"/>
          <w:sz w:val="24"/>
          <w:szCs w:val="24"/>
        </w:rPr>
        <w:t xml:space="preserve">Wild-type males (A) and </w:t>
      </w:r>
      <w:r w:rsidRPr="00C53AC3">
        <w:rPr>
          <w:rFonts w:ascii="Arial" w:hAnsi="Arial" w:cs="Arial"/>
          <w:i/>
          <w:sz w:val="24"/>
          <w:szCs w:val="24"/>
        </w:rPr>
        <w:t xml:space="preserve">wnt4a </w:t>
      </w:r>
      <w:r w:rsidRPr="00C53AC3">
        <w:rPr>
          <w:rFonts w:ascii="Arial" w:hAnsi="Arial" w:cs="Arial"/>
          <w:sz w:val="24"/>
          <w:szCs w:val="24"/>
        </w:rPr>
        <w:t xml:space="preserve">mutant males (B) at 90dpf both have all stages of spermatogenesis and are indistinguishable. Similarly, wild-type females (C) and </w:t>
      </w:r>
      <w:r w:rsidRPr="00C53AC3">
        <w:rPr>
          <w:rFonts w:ascii="Arial" w:hAnsi="Arial" w:cs="Arial"/>
          <w:i/>
          <w:sz w:val="24"/>
          <w:szCs w:val="24"/>
        </w:rPr>
        <w:t xml:space="preserve">wnt4a </w:t>
      </w:r>
      <w:r w:rsidRPr="00C53AC3">
        <w:rPr>
          <w:rFonts w:ascii="Arial" w:hAnsi="Arial" w:cs="Arial"/>
          <w:sz w:val="24"/>
          <w:szCs w:val="24"/>
        </w:rPr>
        <w:t>mutant females (D) have all stages of oogenesis and are indistinguishable. Scale: 1mm</w:t>
      </w:r>
    </w:p>
    <w:p w14:paraId="4F211602" w14:textId="77777777" w:rsidR="002523EE" w:rsidRPr="00C53AC3" w:rsidRDefault="002523EE" w:rsidP="003F56A3">
      <w:pPr>
        <w:spacing w:line="480" w:lineRule="auto"/>
        <w:rPr>
          <w:rFonts w:ascii="Arial" w:hAnsi="Arial" w:cs="Arial"/>
          <w:sz w:val="24"/>
          <w:szCs w:val="24"/>
        </w:rPr>
      </w:pPr>
    </w:p>
    <w:p w14:paraId="4356180D" w14:textId="77777777" w:rsidR="003F56A3" w:rsidRPr="00C53AC3" w:rsidRDefault="002523EE" w:rsidP="003F56A3">
      <w:pPr>
        <w:widowControl w:val="0"/>
        <w:autoSpaceDE w:val="0"/>
        <w:autoSpaceDN w:val="0"/>
        <w:adjustRightInd w:val="0"/>
        <w:spacing w:line="48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357EBA81" wp14:editId="59C5BC94">
            <wp:extent cx="4826000" cy="3200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 Fig 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595F2" w14:textId="0B54891E" w:rsidR="001C602C" w:rsidRDefault="003F56A3" w:rsidP="003F56A3">
      <w:pPr>
        <w:spacing w:line="480" w:lineRule="auto"/>
        <w:rPr>
          <w:rFonts w:ascii="Arial" w:hAnsi="Arial" w:cs="Arial"/>
          <w:sz w:val="24"/>
          <w:szCs w:val="24"/>
        </w:rPr>
      </w:pPr>
      <w:r w:rsidRPr="00C53AC3">
        <w:rPr>
          <w:rFonts w:ascii="Arial" w:hAnsi="Arial" w:cs="Arial"/>
          <w:b/>
          <w:sz w:val="24"/>
          <w:szCs w:val="24"/>
        </w:rPr>
        <w:t xml:space="preserve">Supplemental Figure </w:t>
      </w:r>
      <w:r w:rsidR="0010660E">
        <w:rPr>
          <w:rFonts w:ascii="Arial" w:hAnsi="Arial" w:cs="Arial"/>
          <w:b/>
          <w:sz w:val="24"/>
          <w:szCs w:val="24"/>
        </w:rPr>
        <w:t>6</w:t>
      </w:r>
      <w:r w:rsidRPr="00C53AC3">
        <w:rPr>
          <w:rFonts w:ascii="Arial" w:hAnsi="Arial" w:cs="Arial"/>
          <w:b/>
          <w:sz w:val="24"/>
          <w:szCs w:val="24"/>
        </w:rPr>
        <w:t xml:space="preserve">. Growth of the male zebrafish reproductive duct over time. </w:t>
      </w:r>
      <w:r w:rsidRPr="00C53AC3">
        <w:rPr>
          <w:rFonts w:ascii="Arial" w:hAnsi="Arial" w:cs="Arial"/>
          <w:sz w:val="24"/>
          <w:szCs w:val="24"/>
        </w:rPr>
        <w:t xml:space="preserve">Males were measured for duct elongation as a percentage of the distance between the posterior end of the testis and the genital orifice. Males were collected from 25dpf through 55dpf including adults and elderly (about 2 years old) for reference. Wild-type and </w:t>
      </w:r>
      <w:r w:rsidRPr="00C53AC3">
        <w:rPr>
          <w:rFonts w:ascii="Arial" w:hAnsi="Arial" w:cs="Arial"/>
          <w:i/>
          <w:sz w:val="24"/>
          <w:szCs w:val="24"/>
        </w:rPr>
        <w:t>wnt4a</w:t>
      </w:r>
      <w:r w:rsidRPr="00C53AC3">
        <w:rPr>
          <w:rFonts w:ascii="Arial" w:hAnsi="Arial" w:cs="Arial"/>
          <w:sz w:val="24"/>
          <w:szCs w:val="24"/>
        </w:rPr>
        <w:t xml:space="preserve"> heterozygous males (green) had fully elongated reproductive ducts by 55dpf, while ducts in </w:t>
      </w:r>
      <w:r w:rsidRPr="00C53AC3">
        <w:rPr>
          <w:rFonts w:ascii="Arial" w:hAnsi="Arial" w:cs="Arial"/>
          <w:i/>
          <w:sz w:val="24"/>
          <w:szCs w:val="24"/>
        </w:rPr>
        <w:t>wnt4a</w:t>
      </w:r>
      <w:r w:rsidRPr="00C53AC3">
        <w:rPr>
          <w:rFonts w:ascii="Arial" w:hAnsi="Arial" w:cs="Arial"/>
          <w:sz w:val="24"/>
          <w:szCs w:val="24"/>
        </w:rPr>
        <w:t xml:space="preserve"> mutants (yellow) never fully connected to the genital orifice.</w:t>
      </w:r>
    </w:p>
    <w:p w14:paraId="7AB63BFA" w14:textId="77777777" w:rsidR="001C602C" w:rsidRPr="00C53AC3" w:rsidRDefault="001C602C" w:rsidP="001C602C">
      <w:pPr>
        <w:widowControl w:val="0"/>
        <w:autoSpaceDE w:val="0"/>
        <w:autoSpaceDN w:val="0"/>
        <w:adjustRightInd w:val="0"/>
        <w:spacing w:line="480" w:lineRule="auto"/>
        <w:rPr>
          <w:rFonts w:ascii="Arial" w:eastAsia="Times New Roman" w:hAnsi="Arial" w:cs="Arial"/>
          <w:b/>
          <w:sz w:val="24"/>
          <w:szCs w:val="24"/>
        </w:rPr>
      </w:pPr>
    </w:p>
    <w:p w14:paraId="3C27E892" w14:textId="77777777" w:rsidR="001C602C" w:rsidRPr="00C53AC3" w:rsidRDefault="001C602C" w:rsidP="001C602C">
      <w:pPr>
        <w:spacing w:line="480" w:lineRule="auto"/>
        <w:rPr>
          <w:rFonts w:ascii="Arial" w:hAnsi="Arial" w:cs="Arial"/>
          <w:sz w:val="24"/>
          <w:szCs w:val="24"/>
        </w:rPr>
      </w:pPr>
      <w:r w:rsidRPr="00C53AC3">
        <w:rPr>
          <w:rFonts w:ascii="Arial" w:hAnsi="Arial" w:cs="Arial"/>
          <w:b/>
          <w:sz w:val="24"/>
          <w:szCs w:val="24"/>
        </w:rPr>
        <w:t xml:space="preserve">Supplemental </w:t>
      </w:r>
      <w:r>
        <w:rPr>
          <w:rFonts w:ascii="Arial" w:hAnsi="Arial" w:cs="Arial"/>
          <w:b/>
          <w:sz w:val="24"/>
          <w:szCs w:val="24"/>
        </w:rPr>
        <w:t>File 1</w:t>
      </w:r>
      <w:r w:rsidRPr="00C53AC3">
        <w:rPr>
          <w:rFonts w:ascii="Arial" w:hAnsi="Arial" w:cs="Arial"/>
          <w:b/>
          <w:sz w:val="24"/>
          <w:szCs w:val="24"/>
        </w:rPr>
        <w:t xml:space="preserve">. 3D renderings of the male reproductive ducts. </w:t>
      </w:r>
      <w:r w:rsidRPr="00C53AC3">
        <w:rPr>
          <w:rFonts w:ascii="Arial" w:hAnsi="Arial" w:cs="Arial"/>
          <w:sz w:val="24"/>
          <w:szCs w:val="24"/>
        </w:rPr>
        <w:t xml:space="preserve">WT male (left) develop a fused duct deferens which is absent in the mutant (right). </w:t>
      </w:r>
    </w:p>
    <w:p w14:paraId="62120187" w14:textId="77777777" w:rsidR="001C602C" w:rsidRPr="00C53AC3" w:rsidRDefault="001C602C" w:rsidP="001C602C">
      <w:pPr>
        <w:widowControl w:val="0"/>
        <w:autoSpaceDE w:val="0"/>
        <w:autoSpaceDN w:val="0"/>
        <w:adjustRightInd w:val="0"/>
        <w:spacing w:line="480" w:lineRule="auto"/>
        <w:rPr>
          <w:rFonts w:ascii="Arial" w:eastAsia="Times New Roman" w:hAnsi="Arial" w:cs="Arial"/>
          <w:b/>
          <w:sz w:val="24"/>
          <w:szCs w:val="24"/>
        </w:rPr>
      </w:pPr>
    </w:p>
    <w:p w14:paraId="67D185BC" w14:textId="77777777" w:rsidR="001C602C" w:rsidRDefault="001C602C" w:rsidP="001C602C">
      <w:pPr>
        <w:spacing w:line="480" w:lineRule="auto"/>
        <w:rPr>
          <w:rFonts w:ascii="Arial" w:hAnsi="Arial" w:cs="Arial"/>
          <w:sz w:val="24"/>
          <w:szCs w:val="24"/>
        </w:rPr>
      </w:pPr>
      <w:r w:rsidRPr="00C53AC3">
        <w:rPr>
          <w:rFonts w:ascii="Arial" w:hAnsi="Arial" w:cs="Arial"/>
          <w:b/>
          <w:sz w:val="24"/>
          <w:szCs w:val="24"/>
        </w:rPr>
        <w:lastRenderedPageBreak/>
        <w:t xml:space="preserve">Supplemental </w:t>
      </w:r>
      <w:r>
        <w:rPr>
          <w:rFonts w:ascii="Arial" w:hAnsi="Arial" w:cs="Arial"/>
          <w:b/>
          <w:sz w:val="24"/>
          <w:szCs w:val="24"/>
        </w:rPr>
        <w:t>File 2</w:t>
      </w:r>
      <w:r w:rsidRPr="00C53AC3">
        <w:rPr>
          <w:rFonts w:ascii="Arial" w:hAnsi="Arial" w:cs="Arial"/>
          <w:b/>
          <w:sz w:val="24"/>
          <w:szCs w:val="24"/>
        </w:rPr>
        <w:t xml:space="preserve">. 3D renderings of the female reproductive ducts. </w:t>
      </w:r>
      <w:r w:rsidRPr="00C53AC3">
        <w:rPr>
          <w:rFonts w:ascii="Arial" w:hAnsi="Arial" w:cs="Arial"/>
          <w:sz w:val="24"/>
          <w:szCs w:val="24"/>
        </w:rPr>
        <w:t>WT female (left) develop a complete oviduct which fails to connect to the genital orifice in the mutant (right).</w:t>
      </w:r>
    </w:p>
    <w:p w14:paraId="6C047A80" w14:textId="77777777" w:rsidR="001C602C" w:rsidRPr="003F56A3" w:rsidRDefault="001C602C" w:rsidP="003F56A3">
      <w:pPr>
        <w:spacing w:line="480" w:lineRule="auto"/>
        <w:rPr>
          <w:rFonts w:ascii="Arial" w:hAnsi="Arial" w:cs="Arial"/>
          <w:sz w:val="24"/>
          <w:szCs w:val="24"/>
        </w:rPr>
      </w:pPr>
    </w:p>
    <w:sectPr w:rsidR="001C602C" w:rsidRPr="003F56A3" w:rsidSect="008D25FF">
      <w:pgSz w:w="12240" w:h="15840" w:code="1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6A3"/>
    <w:rsid w:val="0010660E"/>
    <w:rsid w:val="001C602C"/>
    <w:rsid w:val="002523EE"/>
    <w:rsid w:val="0031303B"/>
    <w:rsid w:val="003F56A3"/>
    <w:rsid w:val="00760A55"/>
    <w:rsid w:val="007720F2"/>
    <w:rsid w:val="00CF4BB4"/>
    <w:rsid w:val="00DD7C61"/>
    <w:rsid w:val="00E0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88FE37"/>
  <w15:chartTrackingRefBased/>
  <w15:docId w15:val="{0312EF40-614F-1445-8E1A-DBD86CEF6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56A3"/>
    <w:pPr>
      <w:spacing w:after="160" w:line="259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F56A3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F56A3"/>
    <w:rPr>
      <w:rFonts w:ascii="Calibri" w:eastAsia="Calibri" w:hAnsi="Calibri" w:cs="Times New Roman"/>
      <w:sz w:val="22"/>
      <w:szCs w:val="22"/>
    </w:rPr>
  </w:style>
  <w:style w:type="character" w:styleId="LineNumber">
    <w:name w:val="line number"/>
    <w:basedOn w:val="DefaultParagraphFont"/>
    <w:uiPriority w:val="99"/>
    <w:semiHidden/>
    <w:unhideWhenUsed/>
    <w:rsid w:val="003F56A3"/>
  </w:style>
  <w:style w:type="paragraph" w:styleId="BalloonText">
    <w:name w:val="Balloon Text"/>
    <w:basedOn w:val="Normal"/>
    <w:link w:val="BalloonTextChar"/>
    <w:uiPriority w:val="99"/>
    <w:semiHidden/>
    <w:unhideWhenUsed/>
    <w:rsid w:val="003F56A3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6A3"/>
    <w:rPr>
      <w:rFonts w:ascii="Times New Roman" w:eastAsia="Calibri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489D19-5FC6-EA44-8A09-AB941C3D7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Elizabeth Kossack</dc:creator>
  <cp:keywords/>
  <dc:description/>
  <cp:lastModifiedBy>Sarah Bay</cp:lastModifiedBy>
  <cp:revision>2</cp:revision>
  <dcterms:created xsi:type="dcterms:W3CDTF">2018-11-30T20:12:00Z</dcterms:created>
  <dcterms:modified xsi:type="dcterms:W3CDTF">2018-11-30T20:12:00Z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http://www.zotero.org/styles/developmental-biology</vt:lpwstr>
  </property>
  <property fmtid="{D5CDD505-2E9C-101B-9397-08002B2CF9AE}" pid="13" name="Mendeley Recent Style Name 5_1">
    <vt:lpwstr>Developmental Biology</vt:lpwstr>
  </property>
  <property fmtid="{D5CDD505-2E9C-101B-9397-08002B2CF9AE}" pid="14" name="Mendeley Recent Style Id 6_1">
    <vt:lpwstr>http://www.zotero.org/styles/genetics</vt:lpwstr>
  </property>
  <property fmtid="{D5CDD505-2E9C-101B-9397-08002B2CF9AE}" pid="15" name="Mendeley Recent Style Name 6_1">
    <vt:lpwstr>Genetics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</Properties>
</file>