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59" w:rsidRDefault="00FE5659" w:rsidP="00FE5659">
      <w:pPr>
        <w:spacing w:line="240" w:lineRule="auto"/>
        <w:rPr>
          <w:b/>
        </w:rPr>
      </w:pPr>
      <w:r>
        <w:rPr>
          <w:b/>
        </w:rPr>
        <w:t>Table S10</w:t>
      </w:r>
      <w:r w:rsidRPr="00360AA5">
        <w:rPr>
          <w:b/>
        </w:rPr>
        <w:t>.</w:t>
      </w:r>
      <w:r>
        <w:rPr>
          <w:b/>
        </w:rPr>
        <w:t xml:space="preserve">  The variance and covariance of allele frequency change in simulations with truncation selection versus multiplicative selection.  The base parameter set was used for the truncation model.  For multiplicative selection, the selection coefficient was 0.133 at all 30 fitness determining loci.  Statistics were calculated in each generation at all 291,272 SNPs for 1000 replicate simulation of each model.  The last row reports the fractions of the variance in cumulative </w:t>
      </w:r>
      <w:r w:rsidRPr="002F51DE">
        <w:rPr>
          <w:b/>
        </w:rPr>
        <w:t>change (</w:t>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14</m:t>
            </m:r>
          </m:sub>
        </m:sSub>
      </m:oMath>
      <w:r w:rsidRPr="002F51DE">
        <w:rPr>
          <w:b/>
        </w:rPr>
        <w:t>-</w:t>
      </w:r>
      <m:oMath>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0</m:t>
            </m:r>
          </m:sub>
        </m:sSub>
      </m:oMath>
      <w:r w:rsidRPr="002F51DE">
        <w:rPr>
          <w:b/>
        </w:rPr>
        <w:t>)</w:t>
      </w:r>
      <w:r>
        <w:rPr>
          <w:b/>
        </w:rPr>
        <w:t xml:space="preserve"> that can be attribute to the per generation variances versus the aggregate of among generation </w:t>
      </w:r>
      <w:proofErr w:type="spellStart"/>
      <w:r>
        <w:rPr>
          <w:b/>
        </w:rPr>
        <w:t>covariances</w:t>
      </w:r>
      <w:proofErr w:type="spellEnd"/>
      <w:r>
        <w:rPr>
          <w:b/>
        </w:rPr>
        <w:t>.</w:t>
      </w:r>
    </w:p>
    <w:p w:rsidR="00FE5659" w:rsidRDefault="00FE5659" w:rsidP="00FE5659">
      <w:pPr>
        <w:spacing w:line="240" w:lineRule="auto"/>
        <w:rPr>
          <w:b/>
        </w:rPr>
      </w:pPr>
      <w:r w:rsidRPr="00360AA5">
        <w:rPr>
          <w:b/>
        </w:rPr>
        <w:t xml:space="preserve">  </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40"/>
        <w:gridCol w:w="1890"/>
        <w:gridCol w:w="1890"/>
        <w:gridCol w:w="2070"/>
      </w:tblGrid>
      <w:tr w:rsidR="00FE5659" w:rsidRPr="00CE073E" w:rsidTr="00BB72C9">
        <w:trPr>
          <w:trHeight w:val="285"/>
        </w:trPr>
        <w:tc>
          <w:tcPr>
            <w:tcW w:w="1345" w:type="dxa"/>
            <w:shd w:val="clear" w:color="auto" w:fill="auto"/>
            <w:noWrap/>
            <w:vAlign w:val="bottom"/>
            <w:hideMark/>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Gen (</w:t>
            </w:r>
            <w:proofErr w:type="spellStart"/>
            <w:r>
              <w:rPr>
                <w:rFonts w:ascii="Liberation Sans" w:eastAsia="Times New Roman" w:hAnsi="Liberation Sans"/>
                <w:color w:val="000000"/>
              </w:rPr>
              <w:t>i</w:t>
            </w:r>
            <w:proofErr w:type="spellEnd"/>
            <w:r>
              <w:rPr>
                <w:rFonts w:ascii="Liberation Sans" w:eastAsia="Times New Roman" w:hAnsi="Liberation Sans"/>
                <w:color w:val="000000"/>
              </w:rPr>
              <w:t>)</w:t>
            </w:r>
          </w:p>
        </w:tc>
        <w:tc>
          <w:tcPr>
            <w:tcW w:w="3330" w:type="dxa"/>
            <w:gridSpan w:val="2"/>
            <w:shd w:val="clear" w:color="auto" w:fill="auto"/>
            <w:noWrap/>
            <w:vAlign w:val="bottom"/>
            <w:hideMark/>
          </w:tcPr>
          <w:p w:rsidR="00FE5659" w:rsidRPr="00CE073E" w:rsidRDefault="00FE5659" w:rsidP="00FE5659">
            <w:pPr>
              <w:spacing w:line="240" w:lineRule="auto"/>
              <w:jc w:val="center"/>
              <w:rPr>
                <w:rFonts w:ascii="Liberation Sans" w:eastAsia="Times New Roman" w:hAnsi="Liberation Sans"/>
                <w:color w:val="000000"/>
              </w:rPr>
            </w:pPr>
            <w:r w:rsidRPr="00CE073E">
              <w:rPr>
                <w:rFonts w:ascii="Liberation Sans" w:eastAsia="Times New Roman" w:hAnsi="Liberation Sans"/>
                <w:color w:val="000000"/>
              </w:rPr>
              <w:t>Multiplicative selection</w:t>
            </w:r>
          </w:p>
        </w:tc>
        <w:tc>
          <w:tcPr>
            <w:tcW w:w="3960" w:type="dxa"/>
            <w:gridSpan w:val="2"/>
            <w:shd w:val="clear" w:color="auto" w:fill="auto"/>
            <w:noWrap/>
            <w:vAlign w:val="bottom"/>
            <w:hideMark/>
          </w:tcPr>
          <w:p w:rsidR="00FE5659" w:rsidRPr="00CE073E" w:rsidRDefault="00FE5659" w:rsidP="00FE5659">
            <w:pPr>
              <w:spacing w:line="240" w:lineRule="auto"/>
              <w:jc w:val="center"/>
              <w:rPr>
                <w:rFonts w:ascii="Liberation Sans" w:eastAsia="Times New Roman" w:hAnsi="Liberation Sans"/>
                <w:color w:val="000000"/>
              </w:rPr>
            </w:pPr>
            <w:r w:rsidRPr="00CE073E">
              <w:rPr>
                <w:rFonts w:ascii="Liberation Sans" w:eastAsia="Times New Roman" w:hAnsi="Liberation Sans"/>
                <w:color w:val="000000"/>
              </w:rPr>
              <w:t>Truncation selection</w:t>
            </w:r>
          </w:p>
        </w:tc>
      </w:tr>
      <w:tr w:rsidR="00FE5659" w:rsidRPr="00CE073E" w:rsidTr="00BB72C9">
        <w:trPr>
          <w:trHeight w:val="285"/>
        </w:trPr>
        <w:tc>
          <w:tcPr>
            <w:tcW w:w="1345" w:type="dxa"/>
            <w:shd w:val="clear" w:color="auto" w:fill="auto"/>
            <w:noWrap/>
            <w:vAlign w:val="bottom"/>
            <w:hideMark/>
          </w:tcPr>
          <w:p w:rsidR="00FE5659" w:rsidRPr="00CE073E" w:rsidRDefault="00FE5659" w:rsidP="00FE5659">
            <w:pPr>
              <w:spacing w:line="240" w:lineRule="auto"/>
              <w:jc w:val="center"/>
              <w:rPr>
                <w:rFonts w:ascii="Liberation Sans" w:eastAsia="Times New Roman" w:hAnsi="Liberation Sans"/>
                <w:color w:val="000000"/>
              </w:rPr>
            </w:pPr>
          </w:p>
        </w:tc>
        <w:tc>
          <w:tcPr>
            <w:tcW w:w="1440" w:type="dxa"/>
            <w:shd w:val="clear" w:color="auto" w:fill="auto"/>
            <w:noWrap/>
            <w:vAlign w:val="bottom"/>
            <w:hideMark/>
          </w:tcPr>
          <w:p w:rsidR="00FE5659" w:rsidRPr="00CE073E" w:rsidRDefault="00FE5659" w:rsidP="00FE5659">
            <w:pPr>
              <w:spacing w:line="240" w:lineRule="auto"/>
              <w:jc w:val="center"/>
              <w:rPr>
                <w:rFonts w:ascii="Liberation Sans" w:eastAsia="Times New Roman" w:hAnsi="Liberation Sans"/>
                <w:color w:val="000000"/>
              </w:rPr>
            </w:pPr>
            <m:oMathPara>
              <m:oMath>
                <m:r>
                  <w:rPr>
                    <w:rFonts w:ascii="Cambria Math" w:hAnsi="Cambria Math"/>
                  </w:rPr>
                  <m:t>Var</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e>
                </m:d>
              </m:oMath>
            </m:oMathPara>
          </w:p>
        </w:tc>
        <w:tc>
          <w:tcPr>
            <w:tcW w:w="1890" w:type="dxa"/>
            <w:shd w:val="clear" w:color="auto" w:fill="auto"/>
            <w:noWrap/>
            <w:vAlign w:val="bottom"/>
            <w:hideMark/>
          </w:tcPr>
          <w:p w:rsidR="00FE5659" w:rsidRPr="00CE073E" w:rsidRDefault="00FE5659" w:rsidP="00FE5659">
            <w:pPr>
              <w:spacing w:line="240" w:lineRule="auto"/>
              <w:jc w:val="center"/>
              <w:rPr>
                <w:rFonts w:eastAsia="Times New Roman"/>
                <w:sz w:val="20"/>
                <w:szCs w:val="20"/>
              </w:rPr>
            </w:pPr>
            <m:oMathPara>
              <m:oMath>
                <m:r>
                  <w:rPr>
                    <w:rFonts w:ascii="Cambria Math" w:hAnsi="Cambria Math"/>
                  </w:rPr>
                  <m:t>Cov</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i+1</m:t>
                        </m:r>
                      </m:sub>
                    </m:sSub>
                  </m:e>
                </m:d>
              </m:oMath>
            </m:oMathPara>
          </w:p>
        </w:tc>
        <w:tc>
          <w:tcPr>
            <w:tcW w:w="1890" w:type="dxa"/>
            <w:shd w:val="clear" w:color="auto" w:fill="auto"/>
            <w:noWrap/>
            <w:vAlign w:val="bottom"/>
            <w:hideMark/>
          </w:tcPr>
          <w:p w:rsidR="00FE5659" w:rsidRPr="00CE073E" w:rsidRDefault="00FE5659" w:rsidP="00FE5659">
            <w:pPr>
              <w:spacing w:line="240" w:lineRule="auto"/>
              <w:jc w:val="center"/>
              <w:rPr>
                <w:rFonts w:eastAsia="Times New Roman"/>
                <w:sz w:val="20"/>
                <w:szCs w:val="20"/>
              </w:rPr>
            </w:pPr>
            <m:oMathPara>
              <m:oMath>
                <m:r>
                  <w:rPr>
                    <w:rFonts w:ascii="Cambria Math" w:hAnsi="Cambria Math"/>
                  </w:rPr>
                  <m:t>Var</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e>
                </m:d>
              </m:oMath>
            </m:oMathPara>
          </w:p>
        </w:tc>
        <w:tc>
          <w:tcPr>
            <w:tcW w:w="2070" w:type="dxa"/>
            <w:shd w:val="clear" w:color="auto" w:fill="auto"/>
            <w:noWrap/>
            <w:vAlign w:val="bottom"/>
            <w:hideMark/>
          </w:tcPr>
          <w:p w:rsidR="00FE5659" w:rsidRPr="00CE073E" w:rsidRDefault="00FE5659" w:rsidP="00FE5659">
            <w:pPr>
              <w:spacing w:line="240" w:lineRule="auto"/>
              <w:jc w:val="center"/>
              <w:rPr>
                <w:rFonts w:eastAsia="Times New Roman"/>
                <w:sz w:val="20"/>
                <w:szCs w:val="20"/>
              </w:rPr>
            </w:pPr>
            <m:oMathPara>
              <m:oMath>
                <m:r>
                  <w:rPr>
                    <w:rFonts w:ascii="Cambria Math" w:hAnsi="Cambria Math"/>
                  </w:rPr>
                  <m:t>Cov</m:t>
                </m:r>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i+1</m:t>
                        </m:r>
                      </m:sub>
                    </m:sSub>
                  </m:e>
                </m:d>
              </m:oMath>
            </m:oMathPara>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1</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4.74E-05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5.80915E-05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2</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5.34E-05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5.54E-06</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6.22648E-05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1.87E-07</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3</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5.72E-05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9.43E-06</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6.33615E-05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1.28E-06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4</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6.07E-05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1.27E-05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6.41668E-05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2.07E-06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5</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6.32E-05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1.58E-05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6.505E-05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2.87E-06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6</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6.57E-05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1.85E-05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6.58774E-05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3.71E-06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7</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6.74E-05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2.1E-05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6.66309E-05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4.56E-06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8</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6.92E-05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2.32E-05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6.73869E-05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5.37E-06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9</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7.01E-05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2.49E-05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6.84996E-05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6.4E-06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10</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7.1E-05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2.64E-05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6.96189E-05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7.55E-06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11</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7.11E-05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2.74E-05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7.08063E-05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8.93E-06</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12</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7.07E-05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2.77E-05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7.21472E-05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1.02E-05</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13</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6.95E-05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2.74E-05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7.4264E-05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1.19E-05</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14</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6.76E-05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2.65E-05</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7.61278E-05</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1.42E-05</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Sum</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9.04E-04</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2.66E-04</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9.44E-04</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7.93E-05</w:t>
            </w: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Total change</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3.30E-03</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cstheme="minorHAnsi"/>
                <w:color w:val="000000"/>
              </w:rPr>
              <w:t>1.85E-03</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p>
        </w:tc>
      </w:tr>
      <w:tr w:rsidR="00FE5659" w:rsidRPr="00CE073E" w:rsidTr="00BB72C9">
        <w:trPr>
          <w:trHeight w:val="285"/>
        </w:trPr>
        <w:tc>
          <w:tcPr>
            <w:tcW w:w="1345" w:type="dxa"/>
            <w:shd w:val="clear" w:color="auto" w:fill="auto"/>
            <w:noWrap/>
            <w:vAlign w:val="bottom"/>
          </w:tcPr>
          <w:p w:rsidR="00FE5659" w:rsidRPr="00CE073E" w:rsidRDefault="00FE5659" w:rsidP="00FE5659">
            <w:pPr>
              <w:spacing w:line="240" w:lineRule="auto"/>
              <w:jc w:val="center"/>
              <w:rPr>
                <w:rFonts w:ascii="Liberation Sans" w:eastAsia="Times New Roman" w:hAnsi="Liberation Sans"/>
                <w:color w:val="000000"/>
              </w:rPr>
            </w:pPr>
            <w:r>
              <w:rPr>
                <w:rFonts w:ascii="Liberation Sans" w:eastAsia="Times New Roman" w:hAnsi="Liberation Sans"/>
                <w:color w:val="000000"/>
              </w:rPr>
              <w:t>Proportion of total</w:t>
            </w:r>
          </w:p>
        </w:tc>
        <w:tc>
          <w:tcPr>
            <w:tcW w:w="144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eastAsia="Times New Roman" w:cstheme="minorHAnsi"/>
                <w:color w:val="000000"/>
              </w:rPr>
              <w:t>0.27</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eastAsia="Times New Roman" w:cstheme="minorHAnsi"/>
                <w:color w:val="000000"/>
              </w:rPr>
              <w:t>0.73</w:t>
            </w:r>
          </w:p>
        </w:tc>
        <w:tc>
          <w:tcPr>
            <w:tcW w:w="189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eastAsia="Times New Roman" w:cstheme="minorHAnsi"/>
                <w:color w:val="000000"/>
              </w:rPr>
              <w:t>0.51</w:t>
            </w:r>
          </w:p>
        </w:tc>
        <w:tc>
          <w:tcPr>
            <w:tcW w:w="2070" w:type="dxa"/>
            <w:shd w:val="clear" w:color="auto" w:fill="auto"/>
            <w:noWrap/>
            <w:vAlign w:val="bottom"/>
          </w:tcPr>
          <w:p w:rsidR="00FE5659" w:rsidRPr="002F51DE" w:rsidRDefault="00FE5659" w:rsidP="00FE5659">
            <w:pPr>
              <w:spacing w:line="240" w:lineRule="auto"/>
              <w:jc w:val="center"/>
              <w:rPr>
                <w:rFonts w:eastAsia="Times New Roman" w:cstheme="minorHAnsi"/>
                <w:color w:val="000000"/>
              </w:rPr>
            </w:pPr>
            <w:r w:rsidRPr="002F51DE">
              <w:rPr>
                <w:rFonts w:eastAsia="Times New Roman" w:cstheme="minorHAnsi"/>
                <w:color w:val="000000"/>
              </w:rPr>
              <w:t>0.49</w:t>
            </w:r>
          </w:p>
        </w:tc>
      </w:tr>
    </w:tbl>
    <w:p w:rsidR="00FE5659" w:rsidRDefault="00FE5659" w:rsidP="00FE5659">
      <w:pPr>
        <w:spacing w:line="240" w:lineRule="auto"/>
        <w:rPr>
          <w:b/>
        </w:rPr>
      </w:pPr>
    </w:p>
    <w:p w:rsidR="00A2434E" w:rsidRDefault="00FE5659" w:rsidP="00FE5659">
      <w:pPr>
        <w:spacing w:line="240" w:lineRule="auto"/>
      </w:pPr>
      <w:bookmarkStart w:id="0" w:name="_GoBack"/>
      <w:bookmarkEnd w:id="0"/>
    </w:p>
    <w:sectPr w:rsidR="00A24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59"/>
    <w:rsid w:val="00235936"/>
    <w:rsid w:val="00271AFB"/>
    <w:rsid w:val="00FE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BF4C"/>
  <w15:chartTrackingRefBased/>
  <w15:docId w15:val="{18459FC9-B8E9-4C07-97A7-179B6B03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The University of Kansas</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John K</dc:creator>
  <cp:keywords/>
  <dc:description/>
  <cp:lastModifiedBy>Kelly, John K</cp:lastModifiedBy>
  <cp:revision>1</cp:revision>
  <dcterms:created xsi:type="dcterms:W3CDTF">2018-11-26T14:45:00Z</dcterms:created>
  <dcterms:modified xsi:type="dcterms:W3CDTF">2018-11-26T14:46:00Z</dcterms:modified>
</cp:coreProperties>
</file>