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26" w:rsidRPr="00BD2262" w:rsidRDefault="007A1F30" w:rsidP="00E40226">
      <w:pPr>
        <w:spacing w:line="480" w:lineRule="auto"/>
        <w:rPr>
          <w:sz w:val="20"/>
          <w:szCs w:val="20"/>
          <w:lang w:val="en-GB"/>
        </w:rPr>
      </w:pPr>
      <w:r>
        <w:rPr>
          <w:rFonts w:eastAsia="Calibri" w:cs="Times New Roman"/>
          <w:b/>
          <w:bCs/>
          <w:spacing w:val="5"/>
          <w:sz w:val="20"/>
          <w:szCs w:val="20"/>
          <w:lang w:bidi="en-US"/>
        </w:rPr>
        <w:t xml:space="preserve">Table </w:t>
      </w:r>
      <w:r w:rsidR="00800493">
        <w:rPr>
          <w:rFonts w:eastAsia="Calibri" w:cs="Times New Roman"/>
          <w:b/>
          <w:bCs/>
          <w:spacing w:val="5"/>
          <w:sz w:val="20"/>
          <w:szCs w:val="20"/>
          <w:lang w:bidi="en-US"/>
        </w:rPr>
        <w:t>S</w:t>
      </w:r>
      <w:r w:rsidR="00B6555D">
        <w:rPr>
          <w:rFonts w:eastAsia="Calibri" w:cs="Times New Roman"/>
          <w:b/>
          <w:bCs/>
          <w:spacing w:val="5"/>
          <w:sz w:val="20"/>
          <w:szCs w:val="20"/>
          <w:lang w:bidi="en-US"/>
        </w:rPr>
        <w:t>3</w:t>
      </w:r>
      <w:r w:rsidR="00E12F53" w:rsidRPr="00035B6D">
        <w:rPr>
          <w:rFonts w:eastAsia="Calibri" w:cs="Times New Roman"/>
          <w:b/>
          <w:bCs/>
          <w:spacing w:val="5"/>
          <w:sz w:val="20"/>
          <w:szCs w:val="20"/>
          <w:lang w:bidi="en-US"/>
        </w:rPr>
        <w:t xml:space="preserve"> </w:t>
      </w:r>
      <w:r w:rsidR="00E12F53" w:rsidRPr="00FA5ACC">
        <w:rPr>
          <w:sz w:val="20"/>
          <w:szCs w:val="20"/>
          <w:lang w:val="en-GB"/>
        </w:rPr>
        <w:t xml:space="preserve">Primer sequences used for validation of the mutation detected by whole genome and Sanger sequencing.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7"/>
        <w:gridCol w:w="1391"/>
        <w:gridCol w:w="4069"/>
        <w:gridCol w:w="4077"/>
        <w:gridCol w:w="801"/>
        <w:gridCol w:w="771"/>
        <w:gridCol w:w="1772"/>
        <w:gridCol w:w="512"/>
      </w:tblGrid>
      <w:tr w:rsidR="00E40226" w:rsidRPr="00BD2262" w:rsidTr="00800493">
        <w:trPr>
          <w:trHeight w:val="684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D2262">
              <w:rPr>
                <w:sz w:val="20"/>
                <w:szCs w:val="20"/>
                <w:lang w:val="en-GB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D2262">
              <w:rPr>
                <w:sz w:val="20"/>
                <w:szCs w:val="20"/>
                <w:lang w:val="en-GB"/>
              </w:rPr>
              <w:t xml:space="preserve">Polymorphism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D2262">
              <w:rPr>
                <w:sz w:val="20"/>
                <w:szCs w:val="20"/>
                <w:lang w:val="en-GB"/>
              </w:rPr>
              <w:t xml:space="preserve">Forward primer (5’-3’)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D2262">
              <w:rPr>
                <w:sz w:val="20"/>
                <w:szCs w:val="20"/>
                <w:lang w:val="en-GB"/>
              </w:rPr>
              <w:t xml:space="preserve">Reverse primer (5’-3’)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D2262">
              <w:rPr>
                <w:sz w:val="20"/>
                <w:szCs w:val="20"/>
                <w:lang w:val="en-GB"/>
              </w:rPr>
              <w:t>AS (</w:t>
            </w:r>
            <w:proofErr w:type="spellStart"/>
            <w:r w:rsidRPr="00BD2262">
              <w:rPr>
                <w:sz w:val="20"/>
                <w:szCs w:val="20"/>
                <w:lang w:val="en-GB"/>
              </w:rPr>
              <w:t>bp</w:t>
            </w:r>
            <w:proofErr w:type="spellEnd"/>
            <w:r w:rsidRPr="00BD2262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D2262">
              <w:rPr>
                <w:sz w:val="20"/>
                <w:szCs w:val="20"/>
                <w:lang w:val="en-GB"/>
              </w:rPr>
              <w:t>AT (°C)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</w:rPr>
            </w:pPr>
            <w:r w:rsidRPr="00BD2262">
              <w:rPr>
                <w:sz w:val="20"/>
                <w:szCs w:val="20"/>
              </w:rPr>
              <w:t>Restriction enzyme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</w:rPr>
            </w:pPr>
            <w:r w:rsidRPr="00BD2262">
              <w:rPr>
                <w:sz w:val="20"/>
                <w:szCs w:val="20"/>
              </w:rPr>
              <w:t xml:space="preserve">IT </w:t>
            </w:r>
          </w:p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</w:rPr>
            </w:pPr>
            <w:r w:rsidRPr="00BD2262">
              <w:rPr>
                <w:sz w:val="20"/>
                <w:szCs w:val="20"/>
              </w:rPr>
              <w:t>(°C)</w:t>
            </w:r>
          </w:p>
        </w:tc>
      </w:tr>
      <w:tr w:rsidR="00E40226" w:rsidRPr="00BD2262" w:rsidTr="00800493">
        <w:trPr>
          <w:trHeight w:val="684"/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i/>
                <w:sz w:val="20"/>
                <w:szCs w:val="20"/>
                <w:lang w:val="en-GB"/>
              </w:rPr>
            </w:pPr>
            <w:r w:rsidRPr="00BD2262">
              <w:rPr>
                <w:i/>
                <w:sz w:val="20"/>
                <w:szCs w:val="20"/>
                <w:lang w:val="en-GB"/>
              </w:rPr>
              <w:t>EDA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226" w:rsidRPr="00BD2262" w:rsidRDefault="008E65B3" w:rsidP="00102674">
            <w:pPr>
              <w:spacing w:line="480" w:lineRule="auto"/>
              <w:rPr>
                <w:rFonts w:cs="Arial"/>
                <w:sz w:val="20"/>
                <w:szCs w:val="20"/>
                <w:lang w:val="en-GB"/>
              </w:rPr>
            </w:pPr>
            <w:r w:rsidRPr="00BD2262">
              <w:rPr>
                <w:rFonts w:cs="Arial"/>
                <w:sz w:val="20"/>
                <w:szCs w:val="20"/>
              </w:rPr>
              <w:t>c.458delT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rFonts w:eastAsia="Arial Unicode MS"/>
                <w:sz w:val="20"/>
                <w:szCs w:val="20"/>
              </w:rPr>
            </w:pPr>
            <w:r w:rsidRPr="00BD2262">
              <w:rPr>
                <w:rFonts w:cs="Arial"/>
                <w:color w:val="000000"/>
                <w:sz w:val="20"/>
                <w:szCs w:val="20"/>
              </w:rPr>
              <w:t xml:space="preserve">ATAGAGGGGTCAGGAAAGGAG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rFonts w:eastAsia="Arial Unicode MS"/>
                <w:sz w:val="20"/>
                <w:szCs w:val="20"/>
              </w:rPr>
            </w:pPr>
            <w:r w:rsidRPr="00BD2262">
              <w:rPr>
                <w:rFonts w:cs="Arial"/>
                <w:color w:val="000000"/>
                <w:sz w:val="20"/>
                <w:szCs w:val="20"/>
              </w:rPr>
              <w:t xml:space="preserve">TTTCAACAATAACTGGCCGTG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D2262">
              <w:rPr>
                <w:sz w:val="20"/>
                <w:szCs w:val="20"/>
                <w:lang w:val="en-GB"/>
              </w:rPr>
              <w:t>608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D2262">
              <w:rPr>
                <w:sz w:val="20"/>
                <w:szCs w:val="20"/>
                <w:lang w:val="en-GB"/>
              </w:rPr>
              <w:t>61.3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BD2262">
              <w:rPr>
                <w:i/>
                <w:sz w:val="20"/>
                <w:szCs w:val="20"/>
              </w:rPr>
              <w:t>Alu</w:t>
            </w:r>
            <w:r w:rsidRPr="00BD2262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</w:rPr>
            </w:pPr>
            <w:r w:rsidRPr="00BD2262">
              <w:rPr>
                <w:sz w:val="20"/>
                <w:szCs w:val="20"/>
              </w:rPr>
              <w:t>37</w:t>
            </w:r>
          </w:p>
        </w:tc>
      </w:tr>
      <w:tr w:rsidR="00E40226" w:rsidRPr="00BD2262" w:rsidTr="00102674">
        <w:trPr>
          <w:trHeight w:val="684"/>
          <w:tblHeader/>
        </w:trPr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i/>
                <w:sz w:val="20"/>
                <w:szCs w:val="20"/>
                <w:lang w:val="en-GB"/>
              </w:rPr>
            </w:pPr>
            <w:r w:rsidRPr="00BD2262">
              <w:rPr>
                <w:i/>
                <w:sz w:val="20"/>
                <w:szCs w:val="20"/>
                <w:lang w:val="en-GB"/>
              </w:rPr>
              <w:t>EDA</w:t>
            </w: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BD2262">
              <w:rPr>
                <w:rFonts w:cs="Arial"/>
                <w:sz w:val="20"/>
                <w:szCs w:val="20"/>
              </w:rPr>
              <w:t>c.458delT</w:t>
            </w: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BD2262">
              <w:rPr>
                <w:rFonts w:cs="Times New Roman"/>
                <w:sz w:val="20"/>
                <w:szCs w:val="20"/>
              </w:rPr>
              <w:t xml:space="preserve">GCCTCAGAGAGTGGGTGTCT </w:t>
            </w:r>
            <w:r w:rsidRPr="00BD2262">
              <w:rPr>
                <w:rFonts w:cs="Times New Roman"/>
                <w:sz w:val="20"/>
                <w:szCs w:val="20"/>
              </w:rPr>
              <w:fldChar w:fldCharType="begin"/>
            </w:r>
            <w:r w:rsidRPr="00BD2262">
              <w:rPr>
                <w:rFonts w:cs="Times New Roman"/>
                <w:sz w:val="20"/>
                <w:szCs w:val="20"/>
              </w:rPr>
              <w:instrText xml:space="preserve"> ADDIN EN.CITE &lt;EndNote&gt;&lt;Cite&gt;&lt;Author&gt;Waluk&lt;/Author&gt;&lt;Year&gt;2016&lt;/Year&gt;&lt;RecNum&gt;470&lt;/RecNum&gt;&lt;DisplayText&gt;(Waluk et al. 2016)&lt;/DisplayText&gt;&lt;record&gt;&lt;rec-number&gt;470&lt;/rec-number&gt;&lt;foreign-keys&gt;&lt;key app="EN" db-id="zp5feewpyrdfpqeext2vvdtd2aes9r5ez2v9" timestamp="1518596718"&gt;470&lt;/key&gt;&lt;/foreign-keys&gt;&lt;ref-type name="Journal Article"&gt;17&lt;/ref-type&gt;&lt;contributors&gt;&lt;authors&gt;&lt;author&gt;Waluk, Dominik P&lt;/author&gt;&lt;author&gt;Zur, Gila&lt;/author&gt;&lt;author&gt;Kaufmann, Ronnie&lt;/author&gt;&lt;author&gt;Welle, Monika M&lt;/author&gt;&lt;author&gt;Jagannathan, Vidhya&lt;/author&gt;&lt;author&gt;Drögemüller, Cord&lt;/author&gt;&lt;author&gt;Müller, Eliane J&lt;/author&gt;&lt;author&gt;Leeb, Tosso&lt;/author&gt;&lt;author&gt;Galichet, Arnaud&lt;/author&gt;&lt;/authors&gt;&lt;/contributors&gt;&lt;titles&gt;&lt;title&gt;A splice defect in the EDA gene in dogs with an X-linked hypohidrotic ectodermal dysplasia (XLHED) phenotype&lt;/title&gt;&lt;secondary-title&gt;G3: Genes, Genomes, Genetics&lt;/secondary-title&gt;&lt;/titles&gt;&lt;periodical&gt;&lt;full-title&gt;G3: Genes, Genomes, Genetics&lt;/full-title&gt;&lt;/periodical&gt;&lt;pages&gt;2949-2954&lt;/pages&gt;&lt;volume&gt;6&lt;/volume&gt;&lt;number&gt;9&lt;/number&gt;&lt;dates&gt;&lt;year&gt;2016&lt;/year&gt;&lt;/dates&gt;&lt;isbn&gt;2160-1836&lt;/isbn&gt;&lt;urls&gt;&lt;related-urls&gt;&lt;url&gt;https://www.ncbi.nlm.nih.gov/pmc/articles/PMC5015951/pdf/2949.pdf&lt;/url&gt;&lt;/related-urls&gt;&lt;/urls&gt;&lt;/record&gt;&lt;/Cite&gt;&lt;/EndNote&gt;</w:instrText>
            </w:r>
            <w:r w:rsidRPr="00BD2262">
              <w:rPr>
                <w:rFonts w:cs="Times New Roman"/>
                <w:sz w:val="20"/>
                <w:szCs w:val="20"/>
              </w:rPr>
              <w:fldChar w:fldCharType="separate"/>
            </w:r>
            <w:r w:rsidRPr="00BD2262">
              <w:rPr>
                <w:rFonts w:cs="Times New Roman"/>
                <w:noProof/>
                <w:sz w:val="20"/>
                <w:szCs w:val="20"/>
              </w:rPr>
              <w:t>(Waluk et al. 2016)</w:t>
            </w:r>
            <w:r w:rsidRPr="00BD2262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BD2262">
              <w:rPr>
                <w:rFonts w:cs="Times New Roman"/>
                <w:sz w:val="20"/>
                <w:szCs w:val="20"/>
              </w:rPr>
              <w:t xml:space="preserve">CCTGGAGTCACTGGGGAATA </w:t>
            </w:r>
            <w:r w:rsidRPr="00BD2262">
              <w:rPr>
                <w:rFonts w:cs="Times New Roman"/>
                <w:sz w:val="20"/>
                <w:szCs w:val="20"/>
              </w:rPr>
              <w:fldChar w:fldCharType="begin"/>
            </w:r>
            <w:r w:rsidRPr="00BD2262">
              <w:rPr>
                <w:rFonts w:cs="Times New Roman"/>
                <w:sz w:val="20"/>
                <w:szCs w:val="20"/>
              </w:rPr>
              <w:instrText xml:space="preserve"> ADDIN EN.CITE &lt;EndNote&gt;&lt;Cite&gt;&lt;Author&gt;Waluk&lt;/Author&gt;&lt;Year&gt;2016&lt;/Year&gt;&lt;RecNum&gt;470&lt;/RecNum&gt;&lt;DisplayText&gt;(Waluk et al. 2016)&lt;/DisplayText&gt;&lt;record&gt;&lt;rec-number&gt;470&lt;/rec-number&gt;&lt;foreign-keys&gt;&lt;key app="EN" db-id="zp5feewpyrdfpqeext2vvdtd2aes9r5ez2v9" timestamp="1518596718"&gt;470&lt;/key&gt;&lt;/foreign-keys&gt;&lt;ref-type name="Journal Article"&gt;17&lt;/ref-type&gt;&lt;contributors&gt;&lt;authors&gt;&lt;author&gt;Waluk, Dominik P&lt;/author&gt;&lt;author&gt;Zur, Gila&lt;/author&gt;&lt;author&gt;Kaufmann, Ronnie&lt;/author&gt;&lt;author&gt;Welle, Monika M&lt;/author&gt;&lt;author&gt;Jagannathan, Vidhya&lt;/author&gt;&lt;author&gt;Drögemüller, Cord&lt;/author&gt;&lt;author&gt;Müller, Eliane J&lt;/author&gt;&lt;author&gt;Leeb, Tosso&lt;/author&gt;&lt;author&gt;Galichet, Arnaud&lt;/author&gt;&lt;/authors&gt;&lt;/contributors&gt;&lt;titles&gt;&lt;title&gt;A splice defect in the EDA gene in dogs with an X-linked hypohidrotic ectodermal dysplasia (XLHED) phenotype&lt;/title&gt;&lt;secondary-title&gt;G3: Genes, Genomes, Genetics&lt;/secondary-title&gt;&lt;/titles&gt;&lt;periodical&gt;&lt;full-title&gt;G3: Genes, Genomes, Genetics&lt;/full-title&gt;&lt;/periodical&gt;&lt;pages&gt;2949-2954&lt;/pages&gt;&lt;volume&gt;6&lt;/volume&gt;&lt;number&gt;9&lt;/number&gt;&lt;dates&gt;&lt;year&gt;2016&lt;/year&gt;&lt;/dates&gt;&lt;isbn&gt;2160-1836&lt;/isbn&gt;&lt;urls&gt;&lt;related-urls&gt;&lt;url&gt;https://www.ncbi.nlm.nih.gov/pmc/articles/PMC5015951/pdf/2949.pdf&lt;/url&gt;&lt;/related-urls&gt;&lt;/urls&gt;&lt;/record&gt;&lt;/Cite&gt;&lt;/EndNote&gt;</w:instrText>
            </w:r>
            <w:r w:rsidRPr="00BD2262">
              <w:rPr>
                <w:rFonts w:cs="Times New Roman"/>
                <w:sz w:val="20"/>
                <w:szCs w:val="20"/>
              </w:rPr>
              <w:fldChar w:fldCharType="separate"/>
            </w:r>
            <w:r w:rsidRPr="00BD2262">
              <w:rPr>
                <w:rFonts w:cs="Times New Roman"/>
                <w:noProof/>
                <w:sz w:val="20"/>
                <w:szCs w:val="20"/>
              </w:rPr>
              <w:t>(Waluk et al. 2016)</w:t>
            </w:r>
            <w:r w:rsidRPr="00BD2262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D2262">
              <w:rPr>
                <w:sz w:val="20"/>
                <w:szCs w:val="20"/>
                <w:lang w:val="en-GB"/>
              </w:rPr>
              <w:t>1346</w:t>
            </w: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40226" w:rsidRPr="00BD2262" w:rsidTr="00102674">
        <w:trPr>
          <w:trHeight w:val="684"/>
          <w:tblHeader/>
        </w:trPr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i/>
                <w:sz w:val="20"/>
                <w:szCs w:val="20"/>
                <w:lang w:val="en-GB"/>
              </w:rPr>
            </w:pPr>
            <w:r w:rsidRPr="00BD2262">
              <w:rPr>
                <w:i/>
                <w:sz w:val="20"/>
                <w:szCs w:val="20"/>
                <w:lang w:val="en-GB"/>
              </w:rPr>
              <w:t>EDA</w:t>
            </w: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BD2262">
              <w:rPr>
                <w:rFonts w:cs="Arial"/>
                <w:sz w:val="20"/>
                <w:szCs w:val="20"/>
              </w:rPr>
              <w:t>c.458delT</w:t>
            </w: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BD2262">
              <w:rPr>
                <w:rFonts w:cs="Times New Roman"/>
                <w:sz w:val="20"/>
                <w:szCs w:val="20"/>
              </w:rPr>
              <w:t xml:space="preserve">CTAGAGTTGCGCTCCGAGTT </w:t>
            </w:r>
            <w:r w:rsidRPr="00BD2262">
              <w:rPr>
                <w:rFonts w:cs="Times New Roman"/>
                <w:sz w:val="20"/>
                <w:szCs w:val="20"/>
              </w:rPr>
              <w:fldChar w:fldCharType="begin"/>
            </w:r>
            <w:r w:rsidRPr="00BD2262">
              <w:rPr>
                <w:rFonts w:cs="Times New Roman"/>
                <w:sz w:val="20"/>
                <w:szCs w:val="20"/>
              </w:rPr>
              <w:instrText xml:space="preserve"> ADDIN EN.CITE &lt;EndNote&gt;&lt;Cite&gt;&lt;Author&gt;Waluk&lt;/Author&gt;&lt;Year&gt;2016&lt;/Year&gt;&lt;RecNum&gt;470&lt;/RecNum&gt;&lt;DisplayText&gt;(Waluk et al. 2016)&lt;/DisplayText&gt;&lt;record&gt;&lt;rec-number&gt;470&lt;/rec-number&gt;&lt;foreign-keys&gt;&lt;key app="EN" db-id="zp5feewpyrdfpqeext2vvdtd2aes9r5ez2v9" timestamp="1518596718"&gt;470&lt;/key&gt;&lt;/foreign-keys&gt;&lt;ref-type name="Journal Article"&gt;17&lt;/ref-type&gt;&lt;contributors&gt;&lt;authors&gt;&lt;author&gt;Waluk, Dominik P&lt;/author&gt;&lt;author&gt;Zur, Gila&lt;/author&gt;&lt;author&gt;Kaufmann, Ronnie&lt;/author&gt;&lt;author&gt;Welle, Monika M&lt;/author&gt;&lt;author&gt;Jagannathan, Vidhya&lt;/author&gt;&lt;author&gt;Drögemüller, Cord&lt;/author&gt;&lt;author&gt;Müller, Eliane J&lt;/author&gt;&lt;author&gt;Leeb, Tosso&lt;/author&gt;&lt;author&gt;Galichet, Arnaud&lt;/author&gt;&lt;/authors&gt;&lt;/contributors&gt;&lt;titles&gt;&lt;title&gt;A splice defect in the EDA gene in dogs with an X-linked hypohidrotic ectodermal dysplasia (XLHED) phenotype&lt;/title&gt;&lt;secondary-title&gt;G3: Genes, Genomes, Genetics&lt;/secondary-title&gt;&lt;/titles&gt;&lt;periodical&gt;&lt;full-title&gt;G3: Genes, Genomes, Genetics&lt;/full-title&gt;&lt;/periodical&gt;&lt;pages&gt;2949-2954&lt;/pages&gt;&lt;volume&gt;6&lt;/volume&gt;&lt;number&gt;9&lt;/number&gt;&lt;dates&gt;&lt;year&gt;2016&lt;/year&gt;&lt;/dates&gt;&lt;isbn&gt;2160-1836&lt;/isbn&gt;&lt;urls&gt;&lt;related-urls&gt;&lt;url&gt;https://www.ncbi.nlm.nih.gov/pmc/articles/PMC5015951/pdf/2949.pdf&lt;/url&gt;&lt;/related-urls&gt;&lt;/urls&gt;&lt;/record&gt;&lt;/Cite&gt;&lt;/EndNote&gt;</w:instrText>
            </w:r>
            <w:r w:rsidRPr="00BD2262">
              <w:rPr>
                <w:rFonts w:cs="Times New Roman"/>
                <w:sz w:val="20"/>
                <w:szCs w:val="20"/>
              </w:rPr>
              <w:fldChar w:fldCharType="separate"/>
            </w:r>
            <w:r w:rsidRPr="00BD2262">
              <w:rPr>
                <w:rFonts w:cs="Times New Roman"/>
                <w:noProof/>
                <w:sz w:val="20"/>
                <w:szCs w:val="20"/>
              </w:rPr>
              <w:t>(Waluk et al. 2016)</w:t>
            </w:r>
            <w:r w:rsidRPr="00BD2262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BD226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40226" w:rsidRPr="00BD2262" w:rsidRDefault="00E40226" w:rsidP="00102674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800493" w:rsidRDefault="00800493">
      <w:pPr>
        <w:rPr>
          <w:sz w:val="20"/>
          <w:szCs w:val="20"/>
          <w:lang w:val="en-GB"/>
        </w:rPr>
      </w:pPr>
    </w:p>
    <w:p w:rsidR="00E55796" w:rsidRDefault="00800493">
      <w:r>
        <w:rPr>
          <w:sz w:val="20"/>
          <w:szCs w:val="20"/>
          <w:lang w:val="en-GB"/>
        </w:rPr>
        <w:t>The variant</w:t>
      </w:r>
      <w:r w:rsidRPr="00035B6D">
        <w:rPr>
          <w:sz w:val="20"/>
          <w:szCs w:val="20"/>
          <w:lang w:val="en-GB"/>
        </w:rPr>
        <w:t xml:space="preserve"> </w:t>
      </w:r>
      <w:r w:rsidR="008E65B3" w:rsidRPr="008E65B3">
        <w:rPr>
          <w:rFonts w:cs="Arial"/>
          <w:i/>
          <w:sz w:val="20"/>
          <w:szCs w:val="20"/>
        </w:rPr>
        <w:t>EDA</w:t>
      </w:r>
      <w:r w:rsidR="008E65B3">
        <w:rPr>
          <w:rFonts w:cs="Arial"/>
          <w:sz w:val="20"/>
          <w:szCs w:val="20"/>
        </w:rPr>
        <w:t>:c.458delT</w:t>
      </w:r>
      <w:bookmarkStart w:id="0" w:name="_GoBack"/>
      <w:bookmarkEnd w:id="0"/>
      <w:r w:rsidRPr="00C963E0">
        <w:rPr>
          <w:rFonts w:cs="Arial"/>
          <w:sz w:val="20"/>
          <w:szCs w:val="20"/>
        </w:rPr>
        <w:t xml:space="preserve"> </w:t>
      </w:r>
      <w:r w:rsidRPr="00035B6D">
        <w:rPr>
          <w:sz w:val="20"/>
          <w:szCs w:val="20"/>
          <w:lang w:val="en-GB"/>
        </w:rPr>
        <w:t>was validated by the use of restriction fragment length polymorphism (RFLP). Primer pairs, amplicon size (AS) in base pairs (</w:t>
      </w:r>
      <w:proofErr w:type="spellStart"/>
      <w:r w:rsidRPr="00035B6D">
        <w:rPr>
          <w:sz w:val="20"/>
          <w:szCs w:val="20"/>
          <w:lang w:val="en-GB"/>
        </w:rPr>
        <w:t>bp</w:t>
      </w:r>
      <w:proofErr w:type="spellEnd"/>
      <w:r w:rsidRPr="00035B6D">
        <w:rPr>
          <w:sz w:val="20"/>
          <w:szCs w:val="20"/>
          <w:lang w:val="en-GB"/>
        </w:rPr>
        <w:t xml:space="preserve">), annealing </w:t>
      </w:r>
      <w:r>
        <w:rPr>
          <w:sz w:val="20"/>
          <w:szCs w:val="20"/>
          <w:lang w:val="en-GB"/>
        </w:rPr>
        <w:t xml:space="preserve">temperature </w:t>
      </w:r>
      <w:r w:rsidRPr="00035B6D">
        <w:rPr>
          <w:sz w:val="20"/>
          <w:szCs w:val="20"/>
          <w:lang w:val="en-GB"/>
        </w:rPr>
        <w:t xml:space="preserve">(AT), restriction enzyme and incubation temperature (IT) are </w:t>
      </w:r>
      <w:r w:rsidRPr="00BD2262">
        <w:rPr>
          <w:sz w:val="20"/>
          <w:szCs w:val="20"/>
          <w:lang w:val="en-GB"/>
        </w:rPr>
        <w:t>given. Also depicted are the three primers used for cDNA Sanger sequencing.</w:t>
      </w:r>
    </w:p>
    <w:sectPr w:rsidR="00E55796" w:rsidSect="00E4022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26"/>
    <w:rsid w:val="00645A6D"/>
    <w:rsid w:val="007A1F30"/>
    <w:rsid w:val="00800493"/>
    <w:rsid w:val="008E65B3"/>
    <w:rsid w:val="00B6555D"/>
    <w:rsid w:val="00E12F53"/>
    <w:rsid w:val="00E40226"/>
    <w:rsid w:val="00E55796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B0C9E"/>
  <w15:chartTrackingRefBased/>
  <w15:docId w15:val="{808FD36C-B6B4-46E7-9518-0B35B201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22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Vasiliadis, Danae</dc:creator>
  <cp:keywords/>
  <dc:description/>
  <cp:lastModifiedBy>Vasiliadis, Danae</cp:lastModifiedBy>
  <cp:revision>8</cp:revision>
  <dcterms:created xsi:type="dcterms:W3CDTF">2018-06-14T10:00:00Z</dcterms:created>
  <dcterms:modified xsi:type="dcterms:W3CDTF">2018-09-26T13:42:00Z</dcterms:modified>
</cp:coreProperties>
</file>