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08" w:rsidRDefault="005D4508">
      <w:pPr>
        <w:rPr>
          <w:b/>
        </w:rPr>
      </w:pPr>
      <w:bookmarkStart w:id="0" w:name="_GoBack"/>
      <w:bookmarkEnd w:id="0"/>
    </w:p>
    <w:tbl>
      <w:tblPr>
        <w:tblStyle w:val="a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D450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Splice site strength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of retention (expressed as PSI)</w:t>
            </w:r>
          </w:p>
        </w:tc>
      </w:tr>
      <w:tr w:rsidR="005D450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2724150" cy="1930400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2724150" cy="1930400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0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2724150" cy="1930400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2724150" cy="1930400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0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2724150" cy="193040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F</w:t>
            </w: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2724150" cy="1930400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508">
        <w:trPr>
          <w:trHeight w:val="40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08" w:rsidRDefault="00B16CA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Figure S9: First intron splicing in wild-type and the </w:t>
            </w:r>
            <w:r>
              <w:rPr>
                <w:b/>
                <w:i/>
                <w:sz w:val="20"/>
                <w:szCs w:val="20"/>
              </w:rPr>
              <w:t>prp4ka</w:t>
            </w:r>
            <w:r>
              <w:rPr>
                <w:b/>
                <w:sz w:val="20"/>
                <w:szCs w:val="20"/>
              </w:rPr>
              <w:t xml:space="preserve"> mutant. </w:t>
            </w:r>
            <w:r>
              <w:rPr>
                <w:sz w:val="20"/>
                <w:szCs w:val="20"/>
              </w:rPr>
              <w:t>The splice site scores of both the 5’ and 3’ splice sites (left column) and the degree of retention (represented by PSI, Percent Spliced In, values; right column) were compared for the first introns versus all other retained introns (A and B). Additionally</w:t>
            </w:r>
            <w:r>
              <w:rPr>
                <w:sz w:val="20"/>
                <w:szCs w:val="20"/>
              </w:rPr>
              <w:t xml:space="preserve">, comparisons were made for introns less retained in </w:t>
            </w:r>
            <w:r>
              <w:rPr>
                <w:i/>
                <w:sz w:val="20"/>
                <w:szCs w:val="20"/>
              </w:rPr>
              <w:t>prp4ka</w:t>
            </w:r>
            <w:r>
              <w:rPr>
                <w:sz w:val="20"/>
                <w:szCs w:val="20"/>
              </w:rPr>
              <w:t xml:space="preserve"> (C and D) and introns more retained in </w:t>
            </w:r>
            <w:r>
              <w:rPr>
                <w:i/>
                <w:sz w:val="20"/>
                <w:szCs w:val="20"/>
              </w:rPr>
              <w:t>prp4ka</w:t>
            </w:r>
            <w:r>
              <w:rPr>
                <w:sz w:val="20"/>
                <w:szCs w:val="20"/>
              </w:rPr>
              <w:t xml:space="preserve"> (E and F). Significance values were derived from applying Wilcoxon tests to the different groups. </w:t>
            </w:r>
          </w:p>
        </w:tc>
      </w:tr>
    </w:tbl>
    <w:p w:rsidR="005D4508" w:rsidRDefault="005D4508">
      <w:pPr>
        <w:rPr>
          <w:b/>
        </w:rPr>
      </w:pPr>
    </w:p>
    <w:sectPr w:rsidR="005D450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4508"/>
    <w:rsid w:val="005D4508"/>
    <w:rsid w:val="00B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2018-06-19T06:20:00Z</dcterms:created>
  <dcterms:modified xsi:type="dcterms:W3CDTF">2018-06-19T06:20:00Z</dcterms:modified>
</cp:coreProperties>
</file>